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hint="eastAsia" w:ascii="Arial" w:hAnsi="Arial" w:cs="Arial"/>
          <w:sz w:val="24"/>
          <w:szCs w:val="24"/>
        </w:rPr>
        <w:t>Bluebook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Page</w:t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169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hint="eastAsia" w:ascii="Arial" w:hAnsi="Arial" w:cs="Arial"/>
          <w:sz w:val="24"/>
          <w:szCs w:val="24"/>
        </w:rPr>
        <w:t>May 2019 variant three examination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drawing>
          <wp:inline distT="0" distB="0" distL="0" distR="0">
            <wp:extent cx="5734685" cy="3959860"/>
            <wp:effectExtent l="0" t="0" r="18415" b="254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944" cy="3968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val="en-US" w:eastAsia="zh-CN"/>
        </w:rPr>
        <w:t>2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Requirement - 1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With regards to the acquisition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the accounts, the assets acquired will be brought into the statement of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position using the exchange rate applicable at the date of the transaction. An amount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goodwill will probably be created, which is the difference between the amount paid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and the value of net assets acquired. There will be no foreign exchange gains or losses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to deal with at that stage.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With regards to ongoing trading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At each subsequent reporting period, Jord will translate the numbers for the subsidiary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into Corvolan dollars, which will be the presentation currency for Jord. The translated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numbers will then be consolidated in the group accounts.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translation may create exchange rate differences that need to be dealt with in Jord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accounts.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terms of the statement of financial position, Garden Art balances will need to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translated at the reporting date. If the exchange rate has changed since the previous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year end (and, going forward, from the last reporting date) the translated value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assets and liabilities will have changed giving rise to exchange gains or losses 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translation which will be recognised within other comprehensive income, held in 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separate reserve held within equity in the statement of financial position.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Garden Art income statement will also need to be translated to Corvolan dollars at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reporting date but based on the average rate of exchange during the financial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period.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overall exchange difference (arising from retranslation of the prior year assets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liabilities, and from the difference between the comprehensive income at average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closing rate) will be recognised within other comprehensive income.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 further exchange difference then arises upon consolidation for goodwill, which will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also be recognised at the closing rate, and is retranslated from opening to closing rate.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However, we will need to ensure that any impairment is taken care of before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translating the balance.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our case, Jord is acquiring 100% of the subsidiary, so we won’t have any non?controlling interests (NCI) to worry about. If there were any NCI’s, then the exchange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differences would have been split between Jord and the NCI’s based on a pro rata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basis.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TARA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Requirement 2 – What is TARA and how can we use it?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TARA is a framework for classifying risks according to both their likelihood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impact. It can be argued that the combination of those two factors gives some insight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into how best to manage any given risk.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In its simplest form TARA classifies both likelihood and impart on a two-point scale to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give high and low for each. That can then be presented on a 2x2 matrix. Each cell then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May 2019 4 CIMA Gateway Case Study Exam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corresponds to one of four approaches that can be taken to managing risks. These are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identified by their initials: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Transfer – usually associated with high impact, low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Avoid – usually associated with high impact, high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Reduce - usually associated with low impact, high likelihood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Accept – usually associated with low impact, low probability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For example, the risk of legal problems is hopefully low impact, but the nature of our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business involves contracts and so there could be a high probability. That risk might be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reduced by hiring a local lawyer to advice.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If we assume that exchange rates are unlikely to be volatile then exchange differences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are potentially high impact, but low probability. They could be transferred by hedging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against currency movements on any receivables or payables in Etrovian dollars.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Cultural differences are unlikely to be significant enough to create problems because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two aspects of the business will operate independently, so they are low likelihood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and low impact. That suggests they can be accepted.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problems with trading performance are, potentially, high likelihood and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impact because of the current position. That risk would be best avoided by developing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a new business model.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risks associated with there being differences between the operations of Jord and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Garden Art are potentially high impact and high likelihood. A mechanical application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of TARA would suggest that they should be avoided, but the only way to do that would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be to ab</w:t>
      </w:r>
      <w:bookmarkStart w:id="0" w:name="_GoBack"/>
      <w:bookmarkEnd w:id="0"/>
      <w:r>
        <w:rPr>
          <w:rFonts w:hint="eastAsia"/>
          <w:b w:val="0"/>
          <w:bCs w:val="0"/>
        </w:rPr>
        <w:t xml:space="preserve">andon the investment. Given that the decision to invest has been made,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most appropriate response would be to reduce the risk by, say, hiring a manager with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necessary expertise to supervise Garden Art’s operations on Jord’s behalf.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same could be said about customers not wanting to use Garden Art’s service. It is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probably high risk and high impact, but the risk might be reduced by promoting the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service.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financial problems associated with gearing are also high impact and high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likelihood, but they might be accepted on the basis that Garden Art will become part of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the Jord Group, and the group could support the company through any difficult </w:t>
      </w:r>
    </w:p>
    <w:p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periods.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MT">
    <w:altName w:val="Angsana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C3398"/>
    <w:rsid w:val="00521338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3F2567E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3FEA30CB"/>
    <w:rsid w:val="41EF7CD7"/>
    <w:rsid w:val="43104951"/>
    <w:rsid w:val="43B86432"/>
    <w:rsid w:val="44CA02B7"/>
    <w:rsid w:val="45576C75"/>
    <w:rsid w:val="46281977"/>
    <w:rsid w:val="474A3C0C"/>
    <w:rsid w:val="481A38AF"/>
    <w:rsid w:val="4BDC3169"/>
    <w:rsid w:val="4C835240"/>
    <w:rsid w:val="4C89201A"/>
    <w:rsid w:val="4D1D295B"/>
    <w:rsid w:val="4EB00AE1"/>
    <w:rsid w:val="4F2E3705"/>
    <w:rsid w:val="50B47858"/>
    <w:rsid w:val="52B37C51"/>
    <w:rsid w:val="544344CC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34184D"/>
    <w:rsid w:val="5ED20DCE"/>
    <w:rsid w:val="5FD46805"/>
    <w:rsid w:val="60165D34"/>
    <w:rsid w:val="61340FB7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D39723E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</w:pPr>
    <w:rPr>
      <w:kern w:val="0"/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598</Words>
  <Characters>3409</Characters>
  <Lines>28</Lines>
  <Paragraphs>7</Paragraphs>
  <TotalTime>3</TotalTime>
  <ScaleCrop>false</ScaleCrop>
  <LinksUpToDate>false</LinksUpToDate>
  <CharactersWithSpaces>4000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2020-03-31T11:05:00Z</dcterms:created>
  <dc:creator>张钧鸿</dc:creator>
  <cp:lastModifiedBy>lenovo</cp:lastModifiedBy>
  <dcterms:modified xsi:type="dcterms:W3CDTF">2020-04-05T11:05:51Z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