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</w:pPr>
      <w:r>
        <w:rPr>
          <w:rFonts w:hint="eastAsia" w:ascii="Arial" w:hAnsi="Arial" w:cs="Arial"/>
          <w:sz w:val="24"/>
          <w:szCs w:val="24"/>
        </w:rPr>
        <w:t>Bluebook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Page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43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May</w:t>
      </w:r>
      <w:r>
        <w:rPr>
          <w:rFonts w:ascii="Arial" w:hAnsi="Arial" w:cs="Arial"/>
          <w:sz w:val="24"/>
          <w:szCs w:val="24"/>
        </w:rPr>
        <w:t xml:space="preserve"> 2019 Variant </w:t>
      </w:r>
      <w:r>
        <w:rPr>
          <w:rFonts w:hint="eastAsia" w:ascii="Arial" w:hAnsi="Arial" w:cs="Arial"/>
          <w:sz w:val="24"/>
          <w:szCs w:val="24"/>
        </w:rPr>
        <w:t>One</w:t>
      </w:r>
      <w:r>
        <w:rPr>
          <w:rFonts w:ascii="Arial" w:hAnsi="Arial" w:cs="Arial"/>
          <w:sz w:val="24"/>
          <w:szCs w:val="24"/>
        </w:rPr>
        <w:t xml:space="preserve"> examination:</w:t>
      </w:r>
    </w:p>
    <w:p>
      <w:pPr>
        <w:pStyle w:val="2"/>
        <w:spacing w:before="0"/>
        <w:ind w:left="0"/>
        <w:jc w:val="center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lang w:eastAsia="zh-CN"/>
        </w:rPr>
        <w:drawing>
          <wp:inline distT="0" distB="0" distL="0" distR="0">
            <wp:extent cx="5757545" cy="4700905"/>
            <wp:effectExtent l="0" t="0" r="14605" b="4445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9765" cy="47194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  <w:spacing w:before="0"/>
        <w:ind w:left="0"/>
        <w:jc w:val="center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2"/>
        <w:spacing w:before="0"/>
        <w:ind w:left="0"/>
        <w:jc w:val="center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MANAGEMENT CASE STUDY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MAY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2019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1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4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</w:p>
    <w:p/>
    <w:p/>
    <w:p>
      <w:r>
        <w:br w:type="page"/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need to capitalise the leased assets in the statement of financial position, along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with their associated liability, is governed by IFRS 16 Leases, which came into force for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accounting periods beginning on or after 1 January 2019, which makes it relevant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Jord.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IFRS 16 requires that leases be accounted for on the basis of their economic substance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rather than their legal form. Jord will not own these assets in a legal sense, but it will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control them for the duration of the lease. IFRS 16 requires that the present value of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future lease payments be calculated at the start of the lease and for the present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value to be capitalised as an asset and a liability. The asset will appear under PPE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liability will be split between current and non-current liabilities, depending on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whether they are due within or after 12 months.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Unlike previous standards, IFRS 16 does not permit any discretion over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interpretation of the lease agreement. The fact that a lease has been signed requires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that the value of the lease should be capitalised, with the asset being depreciated over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shorter of the lease term and the asset’s useful life. The liability will be adjusted for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lease payments and the interest accruing on the liability. The categorical treatment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of all leases in the same manner is due to the need to eliminate opportunities for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distortion of the financial statements through creative accounting. Historically, leases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have been misclassified by some companies who wished to minimise their gearing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ratios. Indeed, financial institutions have developed lease in the past that were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designed to enable companies to manipulate their financial statements and understate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their gearing.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If Jord could be permitted to have the lease flow through the statement of profit or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loss, as Theo wishes, then the shareholders could be misled as to the company’s true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financial position. The future lease payments would be just as much a commitment as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future payments of capital and interest on a loan. Excluding the present value of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payments from the statement of financial position would create the impression of 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lean and efficient enterprise, with little in the way of either PPE or debt.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Communication with and training of new staff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new members of staff will represent around 15% of our overall workforce. It 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important, therefore, that we bring them on board as efficiently as possible,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minimise the settling down process. It will be important to get new staff up to speed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quickly with Jord ways of working to ensure the co</w:t>
      </w:r>
      <w:bookmarkStart w:id="0" w:name="_GoBack"/>
      <w:bookmarkEnd w:id="0"/>
      <w:r>
        <w:rPr>
          <w:rFonts w:hint="eastAsia"/>
          <w:b w:val="0"/>
          <w:bCs w:val="0"/>
        </w:rPr>
        <w:t xml:space="preserve">sts are managed and our production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schedules are not jeopardised.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 programme should be devised to train new staff, and those members of staff involved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 administering the training should be informed of the timings and the nature of what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is required. Existing staff will be useful to help train the new workforce, and techniques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such as mentoring and teaching whilst on the job will be effective. However, we haven’t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conducted a training programme of this size before so our human resources director,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Eva Edberg, will play a key role in identifying and scheduling the training required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obtaining additional training resource where necessary. Eva will work with the finance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department to ensure that is run to budget and implemented smoothly.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Good communication throughout the process will be critical and presentations, team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meetings and communication of information by email will all be useful mechanisms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ensure that staff have the information that they need, when they need it. It 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May 2019 9 Management Case Study Exam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important to create an atmosphere where staff feel comfortable asking questions, so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ensuring the people at the top and the people responsible for training new staff are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approachable and helpful is an essential part of the process.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Performance targets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Although Jord is likely to want to use the same or similar performance measures after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expansion, it is unlikely it would be optimal to use the same targets in the short-term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and if they do this could cause some demotivation amongst staff.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Efficiency levels are likely to drop in the short-term as people get used to working at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new higher production levels. There will be new members of staff to train and they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cannot all be expected to reach Jord’s high standards of effective working immediately.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Both new and old members of staff will be discouraged if no account is taken of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changing circumstances in the targets they are working to meet.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Some operations may also be adversely affected by the fact that we are now working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across two sites. For instance, timber cutting only occurs at one site meaning that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transportation between the two sites must be scheduled into workflows. It will be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necessary to increase the standard cycle time for the process being completed from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start to finish to take account of the movement of timber and other changes arising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when two sites are operational. Failure to include these changes make the old targets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unrealistic and therefore potentially ineffective drivers for staff.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It seems sensible to look again at targets provided to staff, adjusting for the anticipated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changes in short term efficiency. We may even want to put in place some different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performance measures from those currently used to encourage smooth transition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higher levels of production.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Hopefully, then, in the long term, as Jord staff benefit from the learning curve effect,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things will return to a state that is as efficient as before and we may well find that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targets can return to their pre-expansion level once things have settled down.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If Jord takes no account of the new working situation and keeps efficiency and waste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targets at the same levels as they were before expansion there could be a significant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impact on morale which would further increase the challenges faced in this time of </w:t>
      </w:r>
    </w:p>
    <w:p>
      <w:pPr>
        <w:rPr>
          <w:b w:val="0"/>
          <w:bCs w:val="0"/>
        </w:rPr>
      </w:pPr>
      <w:r>
        <w:rPr>
          <w:rFonts w:hint="eastAsia"/>
          <w:b w:val="0"/>
          <w:bCs w:val="0"/>
        </w:rPr>
        <w:t>change.</w:t>
      </w:r>
      <w:r>
        <w:rPr>
          <w:rFonts w:hint="eastAsia"/>
          <w:b w:val="0"/>
          <w:bCs w:val="0"/>
        </w:rPr>
        <w:t>.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D1049"/>
    <w:multiLevelType w:val="multilevel"/>
    <w:tmpl w:val="33CD104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B6CBA"/>
    <w:rsid w:val="003D2233"/>
    <w:rsid w:val="004C3398"/>
    <w:rsid w:val="00521338"/>
    <w:rsid w:val="008E7913"/>
    <w:rsid w:val="00935312"/>
    <w:rsid w:val="00954D0B"/>
    <w:rsid w:val="00A00B84"/>
    <w:rsid w:val="00AD6C18"/>
    <w:rsid w:val="00CF7BB4"/>
    <w:rsid w:val="0BD112F3"/>
    <w:rsid w:val="0CDE0BA3"/>
    <w:rsid w:val="1A1A6B47"/>
    <w:rsid w:val="1AC856C9"/>
    <w:rsid w:val="1D426DAC"/>
    <w:rsid w:val="24DC2C62"/>
    <w:rsid w:val="31480BEC"/>
    <w:rsid w:val="32EA1852"/>
    <w:rsid w:val="34626756"/>
    <w:rsid w:val="46281977"/>
    <w:rsid w:val="4D1D295B"/>
    <w:rsid w:val="59476D1F"/>
    <w:rsid w:val="5BA0576F"/>
    <w:rsid w:val="5D496ABE"/>
    <w:rsid w:val="5FD46805"/>
    <w:rsid w:val="62832725"/>
    <w:rsid w:val="65477303"/>
    <w:rsid w:val="6C64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pPr>
      <w:widowControl w:val="0"/>
    </w:pPr>
    <w:rPr>
      <w:kern w:val="0"/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598</Words>
  <Characters>3409</Characters>
  <Lines>28</Lines>
  <Paragraphs>7</Paragraphs>
  <TotalTime>3</TotalTime>
  <ScaleCrop>false</ScaleCrop>
  <LinksUpToDate>false</LinksUpToDate>
  <CharactersWithSpaces>4000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2020-03-31T11:05:00Z</dcterms:created>
  <dc:creator>张钧鸿</dc:creator>
  <cp:lastModifiedBy>lenovo</cp:lastModifiedBy>
  <dcterms:modified xsi:type="dcterms:W3CDTF">2020-04-05T08:16:03Z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