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sz w:val="24"/>
          <w:szCs w:val="24"/>
        </w:rPr>
        <w:t>Bluebook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Page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80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May 2019 variant three examination</w:t>
      </w:r>
      <w:r>
        <w:rPr>
          <w:rFonts w:ascii="Arial" w:hAnsi="Arial" w:cs="Arial"/>
          <w:sz w:val="24"/>
          <w:szCs w:val="24"/>
        </w:rPr>
        <w:t>:</w:t>
      </w:r>
    </w:p>
    <w:p>
      <w:r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144780</wp:posOffset>
            </wp:positionV>
            <wp:extent cx="5726430" cy="3524250"/>
            <wp:effectExtent l="0" t="0" r="7620" b="0"/>
            <wp:wrapTopAndBottom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914400" y="1835785"/>
                      <a:ext cx="5726430" cy="352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 xml:space="preserve"> MAY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9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3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2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Requirement - 1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With regards to the acquisition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 the accounts, the assets acquired will be brought into the statement of financial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position using the exchange rate applicable at the date of the transaction. An amount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of goodwill will probably be created, which is the difference between the amount paid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and the value of net assets acquired. There will be no foreign exchange gains or losses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to deal with at that stage.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With regards to ongoing trading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At each subsequent reporting period, Jord will translate the numbers for the subsidiary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into Corvolan dollars, which will be the presentation currency for Jord. The translated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numbers will then be consolidated in the group accounts.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translation may create exchange rate differences that need to be dealt with in Jord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accounts.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 terms of the statement of financial position, Garden Art balances will need to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translated at the reporting date. If the exchange rate has changed since the previous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year end (and, going forward, from the last reporting date) the translated value of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assets and liabilities will have changed giving rise to exchange gains or losses on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translation which will be recognised within other comprehensive income, held in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separate reserve held within equity in the statement of financial position.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Garden Art income statement will also need to be translated to Corvolan dollars 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reporting date but based on the average rate of exchange during the financial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period.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overall exchange difference (arising from retranslation of the prior year assets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liabilities, and from the difference between the comprehensive income at average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closing rate) will be recognised within other comprehensive income.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 further exchange difference then arises upon consolidation for goodwill, which will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also be recognised at the closing rate, and is retranslated from opening to closing rate.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However, we will need to ensure that any impairment is taken care of before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translating the balance.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 our case, Jord is acquiring 100% of the subsidiary, so we won’t have any non?controlling interests (NCI) to worry about. If there were any NCI’s, then the exchange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differences would have been split between Jord and the NCI’s based on a pro rata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basis.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rFonts w:hint="eastAsia"/>
          <w:b/>
          <w:bCs/>
        </w:rPr>
      </w:pPr>
      <w:bookmarkStart w:id="0" w:name="_GoBack"/>
      <w:bookmarkEnd w:id="0"/>
      <w:r>
        <w:rPr>
          <w:rFonts w:hint="eastAsia"/>
          <w:b/>
          <w:bCs/>
        </w:rPr>
        <w:t>TARA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Requirement 2 – What is TARA and how can we use it?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TARA is a framework for classifying risks according to both their likelihood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impact. It can be argued that the combination of those two factors gives some insight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into how best to manage any given risk.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 its simplest form TARA classifies both likelihood and impart on a two-point scale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give high and low for each. That can then be presented on a 2x2 matrix. Each cell then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May 2019 4 CIMA Gateway Case Study Exam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corresponds to one of four approaches that can be taken to managing risks. These are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identified by their initials: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Transfer – usually associated with high impact, low likelihood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Avoid – usually associated with high impact, high likelihood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Reduce - usually associated with low impact, high likelihood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Accept – usually associated with low impact, low probability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For example, the risk of legal problems is hopefully low impact, but the nature of our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business involves contracts and so there could be a high probability. That risk might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reduced by hiring a local lawyer to advice.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If we assume that exchange rates are unlikely to be volatile then exchange differences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are potentially high impact, but low probability. They could be transferred by hedging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against currency movements on any receivables or payables in Etrovian dollars.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Cultural differences are unlikely to be significant enough to create problems because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two aspects of the business will operate independently, so they are low likelihood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and low impact. That suggests they can be accepted.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problems with trading performance are, potentially, high likelihood and high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impact because of the current position. That risk would be best avoided by developing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 new business model.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risks associated with there being differences between the operations of Jord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Garden Art are potentially high impact and high likelihood. A mechanical application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of TARA would suggest that they should be avoided, but the only way to do that would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 to abandon the investment. Given that the decision to invest has been made,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most appropriate response would be to reduce the risk by, say, hiring a manager with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necessary expertise to supervise Garden Art’s operations on Jord’s behalf.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same could be said about customers not wanting to use Garden Art’s service. It 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probably high risk and high impact, but the risk might be reduced by promoting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service.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financial problems associated with gearing are also high impact and high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likelihood, but they might be accepted on the basis that Garden Art will become part of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Jord Group, and the group could support the company through any difficult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periods.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D1049"/>
    <w:multiLevelType w:val="multilevel"/>
    <w:tmpl w:val="33CD104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B6CBA"/>
    <w:rsid w:val="003D2233"/>
    <w:rsid w:val="004C3398"/>
    <w:rsid w:val="00521338"/>
    <w:rsid w:val="008E7913"/>
    <w:rsid w:val="00935312"/>
    <w:rsid w:val="00954D0B"/>
    <w:rsid w:val="00A00B84"/>
    <w:rsid w:val="00AD6C18"/>
    <w:rsid w:val="00CF7BB4"/>
    <w:rsid w:val="0BD112F3"/>
    <w:rsid w:val="0CDE0BA3"/>
    <w:rsid w:val="0D7B0C8C"/>
    <w:rsid w:val="118E741F"/>
    <w:rsid w:val="152A71FE"/>
    <w:rsid w:val="17CF7C78"/>
    <w:rsid w:val="1A1A6B47"/>
    <w:rsid w:val="1AC856C9"/>
    <w:rsid w:val="1D2D3651"/>
    <w:rsid w:val="1D426DAC"/>
    <w:rsid w:val="215E7624"/>
    <w:rsid w:val="21805FCF"/>
    <w:rsid w:val="24DC2C62"/>
    <w:rsid w:val="267E52C5"/>
    <w:rsid w:val="2CAD543D"/>
    <w:rsid w:val="2CE21521"/>
    <w:rsid w:val="2FAC7A37"/>
    <w:rsid w:val="31480BEC"/>
    <w:rsid w:val="32EA1852"/>
    <w:rsid w:val="34626756"/>
    <w:rsid w:val="38F856FC"/>
    <w:rsid w:val="3C5F076E"/>
    <w:rsid w:val="3CC95FDB"/>
    <w:rsid w:val="3F217C6D"/>
    <w:rsid w:val="43104951"/>
    <w:rsid w:val="46281977"/>
    <w:rsid w:val="4C89201A"/>
    <w:rsid w:val="4D1D295B"/>
    <w:rsid w:val="50B47858"/>
    <w:rsid w:val="57654539"/>
    <w:rsid w:val="58257D93"/>
    <w:rsid w:val="59476D1F"/>
    <w:rsid w:val="595B3DF2"/>
    <w:rsid w:val="5B1F66AC"/>
    <w:rsid w:val="5B6910FA"/>
    <w:rsid w:val="5BA0576F"/>
    <w:rsid w:val="5D376219"/>
    <w:rsid w:val="5D496ABE"/>
    <w:rsid w:val="5ED20DCE"/>
    <w:rsid w:val="5FD46805"/>
    <w:rsid w:val="62832725"/>
    <w:rsid w:val="65477303"/>
    <w:rsid w:val="699E7EA0"/>
    <w:rsid w:val="6C646D2D"/>
    <w:rsid w:val="6E8E0166"/>
    <w:rsid w:val="731579E5"/>
    <w:rsid w:val="7591145F"/>
    <w:rsid w:val="7ACC2F28"/>
    <w:rsid w:val="7C4D0B6D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</w:pPr>
    <w:rPr>
      <w:kern w:val="0"/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598</Words>
  <Characters>3409</Characters>
  <Lines>28</Lines>
  <Paragraphs>7</Paragraphs>
  <TotalTime>2</TotalTime>
  <ScaleCrop>false</ScaleCrop>
  <LinksUpToDate>false</LinksUpToDate>
  <CharactersWithSpaces>4000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2020-03-31T11:05:00Z</dcterms:created>
  <dc:creator>张钧鸿</dc:creator>
  <cp:lastModifiedBy>lenovo</cp:lastModifiedBy>
  <dcterms:modified xsi:type="dcterms:W3CDTF">2020-04-05T09:04:04Z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