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84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three examination</w:t>
      </w:r>
      <w:r>
        <w:rPr>
          <w:rFonts w:ascii="Arial" w:hAnsi="Arial" w:cs="Arial"/>
          <w:sz w:val="24"/>
          <w:szCs w:val="24"/>
        </w:rPr>
        <w:t>:</w:t>
      </w:r>
    </w:p>
    <w:p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693410" cy="4050030"/>
            <wp:effectExtent l="0" t="0" r="2540" b="762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2329" cy="4063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3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Whether a luxury garden design and construction service adds to 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competitive advantage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 is a differentiator, operating at the premium end of the prefabricated housing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market and charging a high price. This strategy is clearly working well, as Jord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highly profitable and has a long customer waiting list. Competitive advantage currently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arises from a very high-quality offering with exacting standards, excellent levels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customer service and a unique product offering that is sustainable and ethically sound.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 will have to undertake some discreet market research in order to establish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whether a graded design service would enhance competitive advantage. If customers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wish to be presented with a completed house, including a finished garden, then Jord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may be able to further differentiate itself by adding this service. Those customers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would prefer the greater simplicity of having the house and garden managed by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single entity. It may be, though, that many house buyers will be keen to find and brief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garden consultant who understands and shares their vision and so there may be little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interest in any consultancy that Jord acquires.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may be concerns that a garden consultant will not have the experience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different climates and soil types that would be encountered because of the fact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 builds homes in different countries. It would certainly harm Jord’s reputation if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customer’s garden did not thrive because of the use of plants that were unsuited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local conditions.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 no particular synergies between the house construction and the creation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garden. It may be difficult for the customer to envisage what the garden design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would look like until after the house had been built. It would also be inconvenient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garden work to be undertaken during the house construction, because of the need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for the housebuilders to access the site with cranes and other equipment. In some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respects, Jord would be forced to operate housebuilding and garden design as two very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separate businesses, even if they were providing both services to the same customers.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 some indications in the figures that suggest that, although the product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offering appears to be conceptually an excellent fit, Garden Art may have the described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potential to distract management time.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These answers have been provided by CIMA for information purposes only. The answers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created are indicative of a response that could be given by a good candidate. They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not to be considered exhaustive, and other appropriate relevant responses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receive credit.</w:t>
      </w:r>
      <w:bookmarkStart w:id="0" w:name="_GoBack"/>
      <w:bookmarkEnd w:id="0"/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CIMA will not accept challenges to these answers on the basis of academic judgement.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Financial health of Garden Art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should be borne in mind that we have little direct interest in Garden Art’s financial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health as an independent entity because we ought to consider it as a potential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subsidiary of the Jord Group. For example, Garden Art’s revenue has fallen from 2017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2018. Following modest growth from 2016 to 2017 of 2%, sales fell by 17% from 2017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2018, to a level over E$1 million lower than that achieved in 2016. This is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potentially worrying sign because it could imply reputational problems associated with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poor quality work, leading to declining sales. If that concern proves unfounded then 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should be borne in mind that Jord’s interest is in acquiring a consultancy that can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service housebuilding clients. Declining revenues could imply the availability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resources, such as skilled labour and consultants, to start immediately on Jord’s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projects.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Operating profit margin is also disappointing, showing an organisation that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struggling to cover costs, with one year in the period making a loss. It may be that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cost base reflects high quality work and that could indicate that Jord will have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ensure that it can enhance Garden Art’s revenues through obtaining commissions from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housebuilding clients. It is clear that Garden Art’s profits are sensitive to revenues.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Garden Art’s average salary seems very high, suggesting that it has skilled staff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whom there is a considerable market demand. That reinforces the need to generate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revenues.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 similar argument with regard to wasted materials. It tends to imply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tendency towards achieving high quality, even if there is a financial cost. That will have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be considered before making an investment because curtailing waste could lead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impairment of the quality of work.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Garden Art’s gearing is relatively high and rising. That is coupled with volatile cash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flows, which is a dangerous combination. The fact that Garden Art will be part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 Group means that it will receive greater support and may not be in any great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danger. It will also motivate the present owners to consider whether they wish to bear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risks associated with continuing to operate independently. They may be motivated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to accept a relatively low purchase price if Jord makes the offer to buy them out.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BD112F3"/>
    <w:rsid w:val="0CDE0BA3"/>
    <w:rsid w:val="0D7B0C8C"/>
    <w:rsid w:val="118E741F"/>
    <w:rsid w:val="152A71FE"/>
    <w:rsid w:val="173B1422"/>
    <w:rsid w:val="17CF7C78"/>
    <w:rsid w:val="1A1A6B47"/>
    <w:rsid w:val="1AC856C9"/>
    <w:rsid w:val="1D2D3651"/>
    <w:rsid w:val="1D426DAC"/>
    <w:rsid w:val="215E7624"/>
    <w:rsid w:val="21805FCF"/>
    <w:rsid w:val="24DC2C62"/>
    <w:rsid w:val="267E52C5"/>
    <w:rsid w:val="26B51519"/>
    <w:rsid w:val="2AC657BE"/>
    <w:rsid w:val="2CAD543D"/>
    <w:rsid w:val="2CE21521"/>
    <w:rsid w:val="2FAC7A37"/>
    <w:rsid w:val="31480BEC"/>
    <w:rsid w:val="32EA1852"/>
    <w:rsid w:val="34626756"/>
    <w:rsid w:val="38F856FC"/>
    <w:rsid w:val="3C5F076E"/>
    <w:rsid w:val="3CC95FDB"/>
    <w:rsid w:val="3F217C6D"/>
    <w:rsid w:val="43104951"/>
    <w:rsid w:val="46281977"/>
    <w:rsid w:val="4C89201A"/>
    <w:rsid w:val="4D1D295B"/>
    <w:rsid w:val="50B47858"/>
    <w:rsid w:val="57654539"/>
    <w:rsid w:val="58257D93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C646D2D"/>
    <w:rsid w:val="6E8E0166"/>
    <w:rsid w:val="731579E5"/>
    <w:rsid w:val="7591145F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4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2020-04-05T09:10:58Z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