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85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November 2018 variant two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-7620</wp:posOffset>
            </wp:positionH>
            <wp:positionV relativeFrom="paragraph">
              <wp:posOffset>180340</wp:posOffset>
            </wp:positionV>
            <wp:extent cx="5654675" cy="3097530"/>
            <wp:effectExtent l="0" t="0" r="3175" b="7620"/>
            <wp:wrapTopAndBottom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924560" y="5525135"/>
                      <a:ext cx="5654675" cy="309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Performance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Fizzcap has been trading for two years and its revenue has increased by 44.4%. This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impressive for a business over its first two years.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Revenue growth may come from increases in sales volume and/or price. The extracts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suggest that the sales prices have remained stable and so the increase is down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higher sales volumes being made. The increase in market share supports this too.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increase in revenues would improve further with a higher market share.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gross profit margin has reduced slightly over the two years despite the operating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 margin increasing slightly. Sales prices have remained stable so the reduction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gross profit margin is due to an increase in the cost of sales. The raw materials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bought from an overseas supplier and the price will change if there are fluctuations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exchange rate between Z$ and D$. The figures suggest that either the price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metal has increased or that the exchange rate has moved against Fizzcap. As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grows, there will be economies of scale and Fizzcap's purchasing director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should negotiate discounts for buying in bulk. This will reduce the price per unit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should improve margins.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fact that the operating profit has increased despite the reduction in gross margin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positive. The main reason for this difference seems to be that in year 1 an external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consultant was used whereas in year 2 it may be that the staff took over the role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were performing when the consultants’ contracts were not renewed. This may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given rise to cost savings and therefore increased the operating profit. Further cost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savings and efficiencies in the future should improve this ratio further, especially if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improvements can be made to the gross profit margin.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return on capital employed (ROCE) has improved this year, lightly. This will be due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part to the increase in the operating profit from the savings made with external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consultants. In addition, as the machinery and intangibles get older, their carrying value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reduces through depreciation and amortisation. This in turn, reduces the capital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employed and so ROCE will increase. When the new machines are bought the ratio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worsen unless there is a significant improvement in operating profit.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Gearing ratio has reduced this year. This tells us that the level of debt compared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equity has reduced. This could be because the level of equity is increasing with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profits each year and/or some of the debt has been paid back. As the gearing level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reduces this makes Fizzcap look more attractive to future investors. TipTops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Grapple will not want to issue more shares as they will lose control of Fizzcap but there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be a need for more debt to help with the investment of replacement machinery.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improvement in the interest cover suggests that either some debt has been repaid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 the interest rates have reduced. This could also be due to the increase in operating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 levels. This is a positive sign but if interest rates rise or if new debt is issued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acquire more machinery, this may fall again. Fizzcap will need to make sure that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levels do not fall enough for the banks to raise concerns and recall the loans from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breaches of debt covenants.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Competitor Analysis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is important to analyse competitors in order to understand how our market place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adapting and what we need to do to stay ahead of the game. The emergence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competitors may lead to lower prices or a loss of customers, although Grapple remains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main customer of Fizzcap and there is no danger of that relationship stopping.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carrying out competitor analysis, we can categorise the competitors according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their level (brand, industry, generic or form) and their likely responses (laid-back,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selective, tiger, stochastic).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Considering the level, we should probably be most concerned about industry and form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competitors. Industry competitors are those which are competing with the same product,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regardless of the size or structure of their organisation. Form competitors, as these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ones that satisfy the same need with a similar, but different, product. These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 the producers of traditional bottle tops for example.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With regards to responses, there are four types of competitor we may expect to see: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 Laid-back – would not respond to our moves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 Selective – only reacts in certain markets or to certain strategies. With these,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would need to understand which strategies would lead to a response.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 Tiger – these are aggressive competitors who will always act in that manner.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need to identify these and understand our advantages over them.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 Stochastic – These are unpredictable. We still need to know who they are, but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there is probably little point in attempting to predict their responses.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carrying out competitor analysis we should remember that some methods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unlikely to obtain suitable results with this product, given that it is only a part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packaging for a drink, rather than the drink itself. Asking the end customer about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different bottle tops used would probably be futile; they would have no choice but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accept the top which comes with the chosen drink.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We could use the following research methods: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1) Buy some of our competitors' products and reverse engineer to determine likely costs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production as well as assessing the product against our own.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2) Use available sources to determine key measures such as profitability, revenue (and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hence market share) and growth. We know that our revenue grew 44% year on year;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we could see whether any other competitors were growing as quickly.</w:t>
      </w:r>
    </w:p>
    <w:p>
      <w:pPr>
        <w:rPr>
          <w:rFonts w:hint="eastAsia"/>
          <w:b w:val="0"/>
          <w:bCs w:val="0"/>
        </w:rPr>
      </w:pPr>
      <w:bookmarkStart w:id="0" w:name="_GoBack"/>
      <w:bookmarkEnd w:id="0"/>
      <w:r>
        <w:rPr>
          <w:rFonts w:hint="eastAsia"/>
          <w:b w:val="0"/>
          <w:bCs w:val="0"/>
        </w:rPr>
        <w:t xml:space="preserve">3) Industry publications, such as Drinks Manufacturing Monthly, will show up to date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articles on competitor activity.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One problem with all of these methods is that they are unlikely to provide valuable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information with regards to competitor responses. It may be that the only way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determine this is to try out some incremental changes and note the responses. Another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way could be to examine past information about them in any previous markets.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AD543D"/>
    <w:rsid w:val="2CE21521"/>
    <w:rsid w:val="2FAC7A37"/>
    <w:rsid w:val="31480BEC"/>
    <w:rsid w:val="31A12E13"/>
    <w:rsid w:val="32EA1852"/>
    <w:rsid w:val="34626756"/>
    <w:rsid w:val="38F856FC"/>
    <w:rsid w:val="3C5F076E"/>
    <w:rsid w:val="3CC95FDB"/>
    <w:rsid w:val="3F217C6D"/>
    <w:rsid w:val="43104951"/>
    <w:rsid w:val="46281977"/>
    <w:rsid w:val="481A38AF"/>
    <w:rsid w:val="4C89201A"/>
    <w:rsid w:val="4D1D295B"/>
    <w:rsid w:val="50B47858"/>
    <w:rsid w:val="57654539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C646D2D"/>
    <w:rsid w:val="6E8E0166"/>
    <w:rsid w:val="731579E5"/>
    <w:rsid w:val="7591145F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5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2020-04-05T09:17:15Z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