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882"/>
        <w:gridCol w:w="769"/>
        <w:gridCol w:w="1282"/>
        <w:gridCol w:w="1318"/>
      </w:tblGrid>
      <w:tr w:rsidR="00E31DB7" w:rsidRPr="00E31DB7" w14:paraId="232BC73C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D0540C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Cycle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35015C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821EA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DAPI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DFE78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TRITC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EC1281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Cy5</w:t>
            </w:r>
          </w:p>
        </w:tc>
      </w:tr>
      <w:tr w:rsidR="00E31DB7" w:rsidRPr="00E31DB7" w14:paraId="2077866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1870A35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9F830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Autofluorescence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6733D7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E0B1EA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A4E87B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10</w:t>
            </w:r>
          </w:p>
        </w:tc>
      </w:tr>
      <w:tr w:rsidR="00E31DB7" w:rsidRPr="00E31DB7" w14:paraId="7299B0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6C27D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401CD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CEBPg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A9F72D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205A34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D55E0B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11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CEBPg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E31DB7" w:rsidRPr="00E31DB7" w14:paraId="565802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1431C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C68A11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Negative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B81C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79F3DD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314F71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13</w:t>
            </w:r>
          </w:p>
        </w:tc>
      </w:tr>
      <w:tr w:rsidR="00E31DB7" w:rsidRPr="00E31DB7" w14:paraId="33B383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972225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A9C3679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FOLH1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5E2BC1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577D9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57B3BD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14 (FOLH1)</w:t>
            </w:r>
          </w:p>
        </w:tc>
      </w:tr>
      <w:tr w:rsidR="00E31DB7" w:rsidRPr="00E31DB7" w14:paraId="497144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8C29173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B52B16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Negative control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6BD6D1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A1CDE14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806A0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16</w:t>
            </w:r>
          </w:p>
        </w:tc>
      </w:tr>
      <w:tr w:rsidR="00E31DB7" w:rsidRPr="00E31DB7" w14:paraId="77FF20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6A0CCD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79C627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AR &amp; DLL3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EB38A0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8C4044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17 (DLL3)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E5767B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18 (AR)</w:t>
            </w:r>
          </w:p>
        </w:tc>
      </w:tr>
      <w:tr w:rsidR="00E31DB7" w:rsidRPr="00E31DB7" w14:paraId="1BDC7E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1843F38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979FB46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PDGFa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 xml:space="preserve"> &amp; pan-CK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A95B2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1C011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19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panCK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86312FE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20 (</w:t>
            </w:r>
            <w:proofErr w:type="spellStart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PDGFa</w:t>
            </w:r>
            <w:proofErr w:type="spellEnd"/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E31DB7" w:rsidRPr="00E31DB7" w14:paraId="59B443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4E35CBF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69F7E2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Final elution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957738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AF85830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5C083A" w14:textId="77777777" w:rsidR="00E31DB7" w:rsidRPr="00E31DB7" w:rsidRDefault="00E31DB7" w:rsidP="00E31DB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1"/>
                <w:szCs w:val="21"/>
                <w14:ligatures w14:val="none"/>
              </w:rPr>
            </w:pPr>
            <w:r w:rsidRPr="00E31DB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1"/>
                <w:szCs w:val="21"/>
                <w14:ligatures w14:val="none"/>
              </w:rPr>
              <w:t>22</w:t>
            </w:r>
          </w:p>
        </w:tc>
      </w:tr>
    </w:tbl>
    <w:p w14:paraId="03198891" w14:textId="77777777" w:rsidR="00357AAA" w:rsidRDefault="00357AAA"/>
    <w:p w14:paraId="11C9EDB7" w14:textId="77777777" w:rsidR="002A0141" w:rsidRDefault="002A0141"/>
    <w:p w14:paraId="4DAE1F36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Multiplex-imaging analysis was performed on WCMC prostate cancer tissue sections, including three NEPC and three adenocarcinoma specimens. Image-channel assignment was performed from OME-XML metadata, and cross-cycle DAPI correlation was used to verify image registration. Images were processed tile-by-tile. Nuclei were segmented from DAPI using watershed-based segmentation, and cells were retained after nuclear-area and registration-quality filtering.</w:t>
      </w:r>
    </w:p>
    <w:p w14:paraId="2BF043AB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Marker measurements were </w:t>
      </w:r>
      <w:proofErr w:type="gram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compartment-specific</w:t>
      </w:r>
      <w:proofErr w:type="gram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. Nuclear markers, including </w:t>
      </w:r>
      <w:r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CEBPD</w:t>
      </w: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and AR, were measured in eroded nuclear masks. Membrane or cytoplasmic markers, including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PDGFa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,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panCK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, FOLH1 and DLL3, were measured in local perinuclear ring masks, with a primary ring radius of 6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μm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and sensitivity analyses at 4 and 8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μm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. Marker intensities were corrected by pixel-level subtraction of matched secondary-only negative-control channels.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Autofluorescent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puncta were identified as pixels bright in both marker and matched blank channels, dilated and excluded before cell-level aggregation. Blank channels were also processed as pseudo-markers to estimate false-positive marker-call rates.</w:t>
      </w:r>
    </w:p>
    <w:p w14:paraId="3B60C3EC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Cells were classified using robust slide-specific thresholds. ASPC-like stromal cells were operationally defined as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PDGFa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-positive cells, with </w:t>
      </w:r>
      <w:r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CEBPD</w:t>
      </w: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-positive and </w:t>
      </w:r>
      <w:r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CEBPD</w:t>
      </w: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-negative strata retained:</w:t>
      </w:r>
    </w:p>
    <w:p w14:paraId="0A49158C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ASPC=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CEBP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∩PDGF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∪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CEBP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-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∩PDGF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</m:sup>
              </m:sSup>
            </m:e>
          </m:d>
        </m:oMath>
      </m:oMathPara>
    </w:p>
    <w:p w14:paraId="30CC430C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which is equivalent to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PDGFa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positivity with </w:t>
      </w:r>
      <w:r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CEBPD</w:t>
      </w: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status retained. Epithelial cancer cells were defined as:</w:t>
      </w:r>
    </w:p>
    <w:p w14:paraId="2734FD20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w:lastRenderedPageBreak/>
            <m:t>EP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A=panC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∩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FOLH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1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∪A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2"/>
                      <w:szCs w:val="22"/>
                      <w14:ligatures w14:val="none"/>
                    </w:rPr>
                    <m:t>+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w:br/>
          </m:r>
        </m:oMath>
      </m:oMathPara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Neuroendocrine cancer cells were defined as:</w:t>
      </w:r>
    </w:p>
    <w:p w14:paraId="36DF7F54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N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A=DLL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+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w:br/>
          </m:r>
        </m:oMath>
      </m:oMathPara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Cells satisfying multiple population definitions were labelled as multi-positive for visualization and quality control.</w:t>
      </w:r>
    </w:p>
    <w:p w14:paraId="37249707" w14:textId="77777777" w:rsidR="002A0141" w:rsidRPr="001B358B" w:rsidRDefault="002A0141" w:rsidP="002A0141">
      <w:pPr>
        <w:shd w:val="clear" w:color="auto" w:fill="FFFFFF"/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ASPC abundance analysis</w:t>
      </w:r>
    </w:p>
    <w:p w14:paraId="11C2B566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For each slide, ASPC abundance was calculated as the fraction of all cells and as ASPC cells per 1,000 cells:</w:t>
      </w:r>
    </w:p>
    <w:p w14:paraId="75B5B2F6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ASPC</m:t>
              </m:r>
            </m:sup>
          </m:sSubSup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ASPC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total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den>
          </m:f>
        </m:oMath>
      </m:oMathPara>
    </w:p>
    <w:p w14:paraId="569F8E50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ASPC per 1000 cell</m:t>
          </m:r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=1000×</m:t>
          </m:r>
          <m:sSubSup>
            <m:sSubSup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ASPC</m:t>
              </m:r>
            </m:sup>
          </m:sSubSup>
        </m:oMath>
      </m:oMathPara>
    </w:p>
    <w:p w14:paraId="42237226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where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ASPC</m:t>
            </m:r>
          </m:sup>
        </m:sSup>
        <m:r>
          <w:rPr>
            <w:rFonts w:ascii="Cambria Math" w:eastAsia="Times New Roman" w:hAnsi="Cambria Math" w:cs="Times New Roman"/>
            <w:color w:val="1F2328"/>
            <w:sz w:val="22"/>
            <w:szCs w:val="22"/>
          </w:rPr>
          <m:t>s</m:t>
        </m:r>
      </m:oMath>
      <w:r w:rsidRPr="001B358B">
        <w:rPr>
          <w:rFonts w:ascii="Times New Roman" w:eastAsia="Times New Roman" w:hAnsi="Times New Roman" w:cs="Times New Roman"/>
          <w:i/>
          <w:iCs/>
          <w:color w:val="1F2328"/>
          <w:kern w:val="0"/>
          <w:sz w:val="22"/>
          <w:szCs w:val="22"/>
          <w14:ligatures w14:val="none"/>
        </w:rPr>
        <w:t xml:space="preserve"> is the number of ASPC-like cells in slide (s), and </w:t>
      </w:r>
      <m:oMath>
        <m:sSup>
          <m:sSup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total</m:t>
            </m:r>
          </m:sup>
        </m:sSup>
        <m:r>
          <w:rPr>
            <w:rFonts w:ascii="Cambria Math" w:eastAsia="Times New Roman" w:hAnsi="Cambria Math" w:cs="Times New Roman"/>
            <w:color w:val="1F2328"/>
            <w:sz w:val="22"/>
            <w:szCs w:val="22"/>
          </w:rPr>
          <m:t>s</m:t>
        </m:r>
      </m:oMath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is the total number of classified cells. Additional abundance metrics included ASPC density per cell-bearing tissue area, ASPC per epithelial cancer cell and ASPC per total tumour cell. Slide/patient was used as the unit of replication.</w:t>
      </w:r>
    </w:p>
    <w:p w14:paraId="64DEE289" w14:textId="77777777" w:rsidR="002A0141" w:rsidRPr="001B358B" w:rsidRDefault="002A0141" w:rsidP="002A0141">
      <w:pPr>
        <w:shd w:val="clear" w:color="auto" w:fill="FFFFFF"/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ASPC-</w:t>
      </w:r>
      <w:proofErr w:type="spellStart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centred</w:t>
      </w:r>
      <w:proofErr w:type="spellEnd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 xml:space="preserve"> </w:t>
      </w:r>
      <w:proofErr w:type="spellStart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neighbourhood</w:t>
      </w:r>
      <w:proofErr w:type="spellEnd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 xml:space="preserve"> analysis in multiplex imaging</w:t>
      </w:r>
    </w:p>
    <w:p w14:paraId="55A58D97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For each ASPC-like cell,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neighbouring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cells within 50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μm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were identified using Euclidean distance in calibrated spatial coordinates:</w:t>
      </w:r>
    </w:p>
    <w:p w14:paraId="4B35C24E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×P</m:t>
          </m:r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μm</m:t>
              </m:r>
            </m:sub>
          </m:sSub>
        </m:oMath>
      </m:oMathPara>
    </w:p>
    <w:p w14:paraId="686C0C1D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ij</m:t>
            </m:r>
          </m:sub>
        </m:sSub>
      </m:oMath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is the distance between cells (i) and (j), and </w:t>
      </w:r>
      <m:oMath>
        <m:r>
          <w:rPr>
            <w:rFonts w:ascii="Cambria Math" w:eastAsia="Times New Roman" w:hAnsi="Cambria Math" w:cs="Times New Roman"/>
            <w:color w:val="1F2328"/>
            <w:sz w:val="22"/>
            <w:szCs w:val="22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μm</m:t>
            </m:r>
          </m:sub>
        </m:sSub>
      </m:oMath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is the pixel-to-micrometre conversion factor. A cell was considered within the ASPC neighbourhood if:</w:t>
      </w:r>
    </w:p>
    <w:p w14:paraId="1419B650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0&lt;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≤50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m:t> 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m:t>μm</m:t>
          </m:r>
          <m:r>
            <w:rPr>
              <w:rFonts w:ascii="Cambria Math" w:eastAsia="Times New Roman" w:hAnsi="Cambria Math" w:cs="Times New Roman"/>
              <w:kern w:val="0"/>
              <w:sz w:val="22"/>
              <w:szCs w:val="22"/>
              <w14:ligatures w14:val="none"/>
            </w:rPr>
            <w:br/>
          </m:r>
        </m:oMath>
      </m:oMathPara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For each slide and neighbour population (p), the observed fraction of ASPC-neighbourhood cells was calculated as:</w:t>
      </w:r>
    </w:p>
    <w:p w14:paraId="3973E59E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s,p</m:t>
              </m:r>
            </m:sub>
          </m:sSub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near ASPC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s,p</m:t>
              </m:r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p</m:t>
                  </m:r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s,p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near ASPC</m:t>
                  </m:r>
                </m:sup>
              </m:sSubSup>
            </m:den>
          </m:f>
        </m:oMath>
      </m:oMathPara>
    </w:p>
    <w:p w14:paraId="2E3CADF9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lastRenderedPageBreak/>
        <w:t>The expected fraction was the slide-wide population frequency:</w:t>
      </w:r>
    </w:p>
    <w:p w14:paraId="68EAFF8C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s,p</m:t>
              </m:r>
            </m:sub>
          </m:sSub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all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s,p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all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den>
          </m:f>
        </m:oMath>
      </m:oMathPara>
    </w:p>
    <w:p w14:paraId="1A5A92C0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Neighbourhood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enrichment was calculated as:</w:t>
      </w:r>
    </w:p>
    <w:p w14:paraId="1FBC9104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Enrichmen</m:t>
          </m:r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s,p</m:t>
              </m:r>
            </m:sub>
          </m:sSub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log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s,p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-4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s,p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1F2328"/>
                              <w:sz w:val="22"/>
                              <w:szCs w:val="22"/>
                            </w:rPr>
                            <m:t>-4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201401F3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These enrichment values were visualized as ASPC-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centred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neighbourhood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heatmaps.</w:t>
      </w:r>
    </w:p>
    <w:p w14:paraId="3A9B834C" w14:textId="77777777" w:rsidR="002A0141" w:rsidRPr="001B358B" w:rsidRDefault="002A0141" w:rsidP="002A0141">
      <w:pPr>
        <w:shd w:val="clear" w:color="auto" w:fill="FFFFFF"/>
        <w:spacing w:before="360" w:after="240" w:line="36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Spatial-bin co-occurrence and nearest-</w:t>
      </w:r>
      <w:proofErr w:type="spellStart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>neighbour</w:t>
      </w:r>
      <w:proofErr w:type="spellEnd"/>
      <w:r w:rsidRPr="001B358B">
        <w:rPr>
          <w:rFonts w:ascii="Times New Roman" w:eastAsia="Times New Roman" w:hAnsi="Times New Roman" w:cs="Times New Roman"/>
          <w:b/>
          <w:bCs/>
          <w:color w:val="1F2328"/>
          <w:kern w:val="0"/>
          <w:sz w:val="22"/>
          <w:szCs w:val="22"/>
          <w14:ligatures w14:val="none"/>
        </w:rPr>
        <w:t xml:space="preserve"> proximity</w:t>
      </w:r>
    </w:p>
    <w:p w14:paraId="7B08C10A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To quantify spatial co-occurrence, each slide was divided into 250 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μm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spatial bins. Within each bin, the numbers of ASPC-like, epithelial cancer and neuroendocrine cancer cells were counted. Spearman correlations were then calculated across occupied bins within each slide:</w:t>
      </w:r>
    </w:p>
    <w:p w14:paraId="19E292F2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ASPC,EP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=Spearman</m:t>
          </m:r>
          <m:d>
            <m:d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ASPC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b,s,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EP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b,s</m:t>
              </m:r>
            </m:e>
          </m:d>
        </m:oMath>
      </m:oMathPara>
    </w:p>
    <w:p w14:paraId="242C2090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ASPC,N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A</m:t>
              </m:r>
            </m:e>
          </m:d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=Spearman</m:t>
          </m:r>
          <m:d>
            <m:d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ASPC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b,s,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1F2328"/>
                          <w:sz w:val="22"/>
                          <w:szCs w:val="22"/>
                        </w:rPr>
                        <m:t>C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A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b,s</m:t>
              </m:r>
            </m:e>
          </m:d>
        </m:oMath>
      </m:oMathPara>
    </w:p>
    <w:p w14:paraId="4BE9F533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where (b) indexes spatial bins and (s) indexes slides.</w:t>
      </w:r>
    </w:p>
    <w:p w14:paraId="69708AE7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Nearest-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proximity was calculated from each ASPC-like cell to the nearest epithelial cancer or neuroendocrine cancer cell. For ASPC cell (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i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), the nearest-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distance to target population (T) was:</w:t>
      </w:r>
    </w:p>
    <w:p w14:paraId="1D8DB6E8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min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j∈T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ij</m:t>
                  </m:r>
                </m:sub>
              </m:sSub>
            </m:e>
          </m:func>
        </m:oMath>
      </m:oMathPara>
    </w:p>
    <w:p w14:paraId="60AEA6D7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The slide-level proximity metric was the median nearest-</w:t>
      </w:r>
      <w:proofErr w:type="spellStart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neighbour</w:t>
      </w:r>
      <w:proofErr w:type="spellEnd"/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distance:</w:t>
      </w:r>
    </w:p>
    <w:p w14:paraId="274367AA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color w:val="1F2328"/>
              <w:sz w:val="22"/>
              <w:szCs w:val="22"/>
            </w:rPr>
            <m:t>=media</m:t>
          </m:r>
          <m:sSub>
            <m:sSub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i∈ASPC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T</m:t>
                  </m:r>
                </m:sup>
              </m:sSubSup>
            </m:e>
          </m:d>
        </m:oMath>
      </m:oMathPara>
    </w:p>
    <w:p w14:paraId="5FECAB44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>A permutation null was generated by randomly permuting cell labels within each slide. The proximity z-score was calculated as:</w:t>
      </w:r>
    </w:p>
    <w:p w14:paraId="1573269F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s</m:t>
              </m:r>
            </m:sub>
            <m:sup>
              <m: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  <m:t>T</m:t>
              </m:r>
            </m:sup>
          </m:sSubSup>
          <m:f>
            <m:fPr>
              <m:ctrlPr>
                <w:rPr>
                  <w:rFonts w:ascii="Cambria Math" w:eastAsia="Times New Roman" w:hAnsi="Cambria Math" w:cs="Times New Roman"/>
                  <w:color w:val="1F2328"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T</m:t>
                  </m:r>
                </m:sup>
              </m:sSubSup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null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T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null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1F2328"/>
                      <w:sz w:val="22"/>
                      <w:szCs w:val="22"/>
                    </w:rPr>
                    <m:t>T</m:t>
                  </m:r>
                </m:sup>
              </m:sSubSup>
            </m:den>
          </m:f>
        </m:oMath>
      </m:oMathPara>
    </w:p>
    <w:p w14:paraId="7D9D7035" w14:textId="77777777" w:rsidR="002A0141" w:rsidRPr="001B358B" w:rsidRDefault="002A0141" w:rsidP="002A0141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</w:pPr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lastRenderedPageBreak/>
        <w:t xml:space="preserve">where </w:t>
      </w:r>
      <m:oMath>
        <m:sSubSup>
          <m:sSubSup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null</m:t>
            </m:r>
          </m:sub>
          <m:sup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T</m:t>
            </m:r>
          </m:sup>
        </m:sSubSup>
        <m:r>
          <w:rPr>
            <w:rFonts w:ascii="Cambria Math" w:eastAsia="Times New Roman" w:hAnsi="Cambria Math" w:cs="Times New Roman"/>
            <w:color w:val="1F2328"/>
            <w:sz w:val="22"/>
            <w:szCs w:val="22"/>
          </w:rPr>
          <m:t xml:space="preserve"> </m:t>
        </m:r>
      </m:oMath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and </w:t>
      </w:r>
      <m:oMath>
        <m:sSubSup>
          <m:sSubSupPr>
            <m:ctrlP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null</m:t>
            </m:r>
          </m:sub>
          <m:sup>
            <m:r>
              <w:rPr>
                <w:rFonts w:ascii="Cambria Math" w:eastAsia="Times New Roman" w:hAnsi="Cambria Math" w:cs="Times New Roman"/>
                <w:color w:val="1F2328"/>
                <w:sz w:val="22"/>
                <w:szCs w:val="22"/>
              </w:rPr>
              <m:t>T</m:t>
            </m:r>
          </m:sup>
        </m:sSubSup>
      </m:oMath>
      <w:r w:rsidRPr="001B358B">
        <w:rPr>
          <w:rFonts w:ascii="Times New Roman" w:eastAsia="Times New Roman" w:hAnsi="Times New Roman" w:cs="Times New Roman"/>
          <w:color w:val="1F2328"/>
          <w:kern w:val="0"/>
          <w:sz w:val="22"/>
          <w:szCs w:val="22"/>
          <w14:ligatures w14:val="none"/>
        </w:rPr>
        <w:t xml:space="preserve"> are the mean and standard deviation of the permuted nearest-neighbour distances. Negative values indicate that ASPCs are closer to the target population than expected by chance.</w:t>
      </w:r>
    </w:p>
    <w:p w14:paraId="4DD70A2C" w14:textId="77777777" w:rsidR="002A0141" w:rsidRDefault="002A0141"/>
    <w:sectPr w:rsidR="002A0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B7"/>
    <w:rsid w:val="000008BB"/>
    <w:rsid w:val="00027983"/>
    <w:rsid w:val="00045DA7"/>
    <w:rsid w:val="00064822"/>
    <w:rsid w:val="000669B2"/>
    <w:rsid w:val="000B06EF"/>
    <w:rsid w:val="000B726E"/>
    <w:rsid w:val="000C670E"/>
    <w:rsid w:val="000E7E50"/>
    <w:rsid w:val="000F039F"/>
    <w:rsid w:val="00120672"/>
    <w:rsid w:val="0013792F"/>
    <w:rsid w:val="00142A35"/>
    <w:rsid w:val="001647A0"/>
    <w:rsid w:val="001712C9"/>
    <w:rsid w:val="001736F9"/>
    <w:rsid w:val="00191D18"/>
    <w:rsid w:val="001D027E"/>
    <w:rsid w:val="001F26D3"/>
    <w:rsid w:val="00207862"/>
    <w:rsid w:val="002A0141"/>
    <w:rsid w:val="002A6AE2"/>
    <w:rsid w:val="002C1B43"/>
    <w:rsid w:val="0034326F"/>
    <w:rsid w:val="00357AAA"/>
    <w:rsid w:val="00363E70"/>
    <w:rsid w:val="00376E16"/>
    <w:rsid w:val="003841C1"/>
    <w:rsid w:val="003B3BE0"/>
    <w:rsid w:val="004F047E"/>
    <w:rsid w:val="004F5A63"/>
    <w:rsid w:val="004F7544"/>
    <w:rsid w:val="0054703B"/>
    <w:rsid w:val="00576CEB"/>
    <w:rsid w:val="0059467A"/>
    <w:rsid w:val="005A2FDC"/>
    <w:rsid w:val="005D7163"/>
    <w:rsid w:val="00611625"/>
    <w:rsid w:val="006170E5"/>
    <w:rsid w:val="00656E28"/>
    <w:rsid w:val="006804FB"/>
    <w:rsid w:val="00682373"/>
    <w:rsid w:val="0068410F"/>
    <w:rsid w:val="00687C4A"/>
    <w:rsid w:val="006D7CBD"/>
    <w:rsid w:val="006E541A"/>
    <w:rsid w:val="00705A47"/>
    <w:rsid w:val="00722B76"/>
    <w:rsid w:val="00743320"/>
    <w:rsid w:val="00755113"/>
    <w:rsid w:val="00761182"/>
    <w:rsid w:val="00770587"/>
    <w:rsid w:val="007845D5"/>
    <w:rsid w:val="007A3A0A"/>
    <w:rsid w:val="007B0749"/>
    <w:rsid w:val="007D3C52"/>
    <w:rsid w:val="007F4392"/>
    <w:rsid w:val="00824A90"/>
    <w:rsid w:val="00834305"/>
    <w:rsid w:val="0087139F"/>
    <w:rsid w:val="00887828"/>
    <w:rsid w:val="00890D6C"/>
    <w:rsid w:val="00894AD0"/>
    <w:rsid w:val="008B1655"/>
    <w:rsid w:val="008D2E61"/>
    <w:rsid w:val="008E49F2"/>
    <w:rsid w:val="009278EE"/>
    <w:rsid w:val="00955A8F"/>
    <w:rsid w:val="009C0754"/>
    <w:rsid w:val="009E3687"/>
    <w:rsid w:val="009E543E"/>
    <w:rsid w:val="009E59B8"/>
    <w:rsid w:val="00A04B7F"/>
    <w:rsid w:val="00A16A3A"/>
    <w:rsid w:val="00A324A4"/>
    <w:rsid w:val="00A44ADB"/>
    <w:rsid w:val="00A8205B"/>
    <w:rsid w:val="00AF44C2"/>
    <w:rsid w:val="00B13A40"/>
    <w:rsid w:val="00B2501F"/>
    <w:rsid w:val="00B361FD"/>
    <w:rsid w:val="00B37489"/>
    <w:rsid w:val="00B54CB6"/>
    <w:rsid w:val="00B92550"/>
    <w:rsid w:val="00BC61C5"/>
    <w:rsid w:val="00C9110C"/>
    <w:rsid w:val="00CA0553"/>
    <w:rsid w:val="00CB1B2F"/>
    <w:rsid w:val="00CE4495"/>
    <w:rsid w:val="00D327CA"/>
    <w:rsid w:val="00E31DB7"/>
    <w:rsid w:val="00E81789"/>
    <w:rsid w:val="00E86222"/>
    <w:rsid w:val="00F61DC9"/>
    <w:rsid w:val="00FB067A"/>
    <w:rsid w:val="00FD2556"/>
    <w:rsid w:val="00FD28A3"/>
    <w:rsid w:val="00FF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7F255"/>
  <w15:chartTrackingRefBased/>
  <w15:docId w15:val="{72604482-CEF3-8A42-9C15-52D0A159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B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31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Jingjing</dc:creator>
  <cp:keywords/>
  <dc:description/>
  <cp:lastModifiedBy>Chen, Jingjing</cp:lastModifiedBy>
  <cp:revision>2</cp:revision>
  <dcterms:created xsi:type="dcterms:W3CDTF">2026-08-14T02:31:00Z</dcterms:created>
  <dcterms:modified xsi:type="dcterms:W3CDTF">2026-08-20T20:11:00Z</dcterms:modified>
</cp:coreProperties>
</file>