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7E21B">
      <w:pPr>
        <w:jc w:val="center"/>
      </w:pPr>
      <w:r>
        <w:rPr>
          <w:rFonts w:ascii="Calibri" w:hAnsi="Calibri" w:eastAsia="黑体"/>
          <w:b/>
          <w:color w:val="0B2545"/>
          <w:sz w:val="48"/>
        </w:rPr>
        <w:t>概要设计说明书</w:t>
      </w:r>
    </w:p>
    <w:p w14:paraId="5CBD0E7F">
      <w:pPr>
        <w:jc w:val="center"/>
      </w:pPr>
      <w:r>
        <w:rPr>
          <w:rFonts w:eastAsia="黑体"/>
          <w:b/>
          <w:sz w:val="32"/>
        </w:rPr>
        <w:t>关于吉林银行统一监管报送平台升级的需求</w:t>
      </w:r>
    </w:p>
    <w:p w14:paraId="0EE30DD1"/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61643D2">
        <w:trPr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2D45">
            <w:r>
              <w:rPr>
                <w:b/>
              </w:rPr>
              <w:t>文件状态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378C">
            <w:r>
              <w:rPr>
                <w:b/>
              </w:rPr>
              <w:t>公司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10F8">
            <w:r>
              <w:rPr>
                <w:b/>
              </w:rPr>
              <w:t>保密等级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2D3D">
            <w:r>
              <w:rPr>
                <w:b/>
              </w:rPr>
              <w:t>作者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68B4">
            <w:r>
              <w:rPr>
                <w:b/>
              </w:rPr>
              <w:t>最后完成日期</w:t>
            </w:r>
          </w:p>
        </w:tc>
      </w:tr>
      <w:tr w14:paraId="51F71568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64D2">
            <w:r>
              <w:t>正式发布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4793">
            <w:r>
              <w:t>吉林银行股份有限公司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E8FB">
            <w:r>
              <w:t>内控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778C">
            <w:r>
              <w:t>项目组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0442">
            <w:r>
              <w:t>2026/06/05</w:t>
            </w:r>
          </w:p>
        </w:tc>
      </w:tr>
    </w:tbl>
    <w:p w14:paraId="50636357"/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9FC3454">
        <w:trPr>
          <w:jc w:val="center"/>
        </w:trPr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EE4A">
            <w:r>
              <w:rPr>
                <w:b/>
              </w:rPr>
              <w:t>日期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70BE">
            <w:r>
              <w:rPr>
                <w:b/>
              </w:rPr>
              <w:t>版本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6DF3">
            <w:r>
              <w:rPr>
                <w:b/>
              </w:rPr>
              <w:t>作者/修改者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0F4">
            <w:r>
              <w:rPr>
                <w:b/>
              </w:rPr>
              <w:t>修订类型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F10B">
            <w:r>
              <w:rPr>
                <w:b/>
              </w:rPr>
              <w:t>描述</w:t>
            </w:r>
          </w:p>
        </w:tc>
      </w:tr>
      <w:tr w14:paraId="3DE0D45D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A5FA">
            <w:r>
              <w:t>2025/08/19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EC5D">
            <w:r>
              <w:t>V1.0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D341">
            <w:r>
              <w:t>刘丹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3393">
            <w:r>
              <w:t>C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E22E">
            <w:r>
              <w:t>文档新增</w:t>
            </w:r>
          </w:p>
        </w:tc>
      </w:tr>
      <w:tr w14:paraId="26B6D4BD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9AD40">
            <w:r>
              <w:t>2026/04/22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1577">
            <w:r>
              <w:t>V1.1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4024">
            <w:r>
              <w:t>刘丹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B7AE">
            <w:r>
              <w:t>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0276">
            <w:r>
              <w:t>修改文档</w:t>
            </w:r>
          </w:p>
        </w:tc>
      </w:tr>
      <w:tr w14:paraId="3125D415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7E83">
            <w:r>
              <w:t>2026/06/05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967D">
            <w:r>
              <w:t>V2.7-URGS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CC1F">
            <w:r>
              <w:t>项目组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C803">
            <w:r>
              <w:t>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38C3">
            <w:r>
              <w:t>按 URGS 当前项目内容重写，保留原目录结构</w:t>
            </w:r>
          </w:p>
        </w:tc>
      </w:tr>
    </w:tbl>
    <w:p w14:paraId="106CD0F8"/>
    <w:p w14:paraId="67A5FF6E">
      <w:r>
        <w:t>注：修订类型 C-创建  A-增加  M-修改  D-删除</w:t>
      </w:r>
    </w:p>
    <w:p w14:paraId="49A33425">
      <w:pPr>
        <w:pStyle w:val="3"/>
      </w:pPr>
      <w:r>
        <w:t>目 录</w:t>
      </w:r>
    </w:p>
    <w:p w14:paraId="6A8BEE80">
      <w:r>
        <w:t>1 前言</w:t>
      </w:r>
    </w:p>
    <w:p w14:paraId="5B891890">
      <w:r>
        <w:t>1.1 目的</w:t>
      </w:r>
    </w:p>
    <w:p w14:paraId="277CB587">
      <w:r>
        <w:t>1.2 背景</w:t>
      </w:r>
    </w:p>
    <w:p w14:paraId="7E1051BF">
      <w:r>
        <w:t>1.3 术语定义</w:t>
      </w:r>
    </w:p>
    <w:p w14:paraId="159EF58E">
      <w:r>
        <w:t>1.4 参考资料</w:t>
      </w:r>
    </w:p>
    <w:p w14:paraId="49C3DCBF">
      <w:r>
        <w:t>2 总体架构设计</w:t>
      </w:r>
    </w:p>
    <w:p w14:paraId="052948C1">
      <w:r>
        <w:t>2.1 应用架构</w:t>
      </w:r>
    </w:p>
    <w:p w14:paraId="0969F456">
      <w:r>
        <w:t>2.1.1 应用架构图</w:t>
      </w:r>
    </w:p>
    <w:p w14:paraId="07B9B115">
      <w:r>
        <w:t>2.1.2 关联系统架构图</w:t>
      </w:r>
    </w:p>
    <w:p w14:paraId="780782C7">
      <w:r>
        <w:t>2.2 技术架构</w:t>
      </w:r>
    </w:p>
    <w:p w14:paraId="63B0FB77">
      <w:r>
        <w:t>2.2.1 技术架构图</w:t>
      </w:r>
    </w:p>
    <w:p w14:paraId="4BB57585">
      <w:r>
        <w:t>2.2.2 技术路线（技术栈）</w:t>
      </w:r>
    </w:p>
    <w:p w14:paraId="00BAF6A9">
      <w:r>
        <w:t>2.3 网络与物理架构</w:t>
      </w:r>
    </w:p>
    <w:p w14:paraId="2CDCB7F6">
      <w:r>
        <w:t>2.4 数据架构</w:t>
      </w:r>
    </w:p>
    <w:p w14:paraId="6C23525F">
      <w:r>
        <w:t>2.4.1 分布式数据库设计说明</w:t>
      </w:r>
    </w:p>
    <w:p w14:paraId="22953E31">
      <w:r>
        <w:t>2.4.2 数据分布与主数据说明</w:t>
      </w:r>
    </w:p>
    <w:p w14:paraId="7F83137B">
      <w:r>
        <w:t>2.4.3 数据流向设计说明</w:t>
      </w:r>
    </w:p>
    <w:p w14:paraId="07091D64">
      <w:r>
        <w:t>2.4.4 数据服务情况说明</w:t>
      </w:r>
    </w:p>
    <w:p w14:paraId="070BEFBC">
      <w:r>
        <w:t>2.4.5 数据标准设计说明</w:t>
      </w:r>
    </w:p>
    <w:p w14:paraId="7D1700A2">
      <w:r>
        <w:t>2.4.6 批处理任务及调度说明</w:t>
      </w:r>
    </w:p>
    <w:p w14:paraId="626A71A5">
      <w:r>
        <w:t>2.4.7 数据清理与备份策略说明</w:t>
      </w:r>
    </w:p>
    <w:p w14:paraId="014880B8">
      <w:r>
        <w:t>2.5 其他架构说明</w:t>
      </w:r>
    </w:p>
    <w:p w14:paraId="36B5AAE1">
      <w:r>
        <w:t>3 系统环境描述</w:t>
      </w:r>
    </w:p>
    <w:p w14:paraId="54F06F03">
      <w:r>
        <w:t>3.1 生产运行环境</w:t>
      </w:r>
    </w:p>
    <w:p w14:paraId="27939345">
      <w:r>
        <w:t>3.1.1 硬件环境</w:t>
      </w:r>
    </w:p>
    <w:p w14:paraId="2A1E1293">
      <w:r>
        <w:t>3.1.2 软件环境</w:t>
      </w:r>
    </w:p>
    <w:p w14:paraId="4A5C05E3">
      <w:r>
        <w:t>3.1.3 负载均衡</w:t>
      </w:r>
    </w:p>
    <w:p w14:paraId="022D6B80">
      <w:r>
        <w:t>3.1.4 容量设计</w:t>
      </w:r>
    </w:p>
    <w:p w14:paraId="76BE45D5">
      <w:r>
        <w:t>3.2 测试环境</w:t>
      </w:r>
    </w:p>
    <w:p w14:paraId="12C4E5A5">
      <w:r>
        <w:t>3.2.1 硬件环境</w:t>
      </w:r>
    </w:p>
    <w:p w14:paraId="34EB88C3">
      <w:r>
        <w:t>3.2.2 软件环境</w:t>
      </w:r>
    </w:p>
    <w:p w14:paraId="1EEDE3BB">
      <w:r>
        <w:t>3.3 开发环境</w:t>
      </w:r>
    </w:p>
    <w:p w14:paraId="760DA3E0">
      <w:r>
        <w:t>3.3.1 服务器硬件环境</w:t>
      </w:r>
    </w:p>
    <w:p w14:paraId="616C91E3">
      <w:r>
        <w:t>3.3.2 服务器软件环境</w:t>
      </w:r>
    </w:p>
    <w:p w14:paraId="25441805">
      <w:r>
        <w:t>4 功能设计</w:t>
      </w:r>
    </w:p>
    <w:p w14:paraId="68BC9E5C">
      <w:r>
        <w:t>4.1 功能清单</w:t>
      </w:r>
    </w:p>
    <w:p w14:paraId="2354389D">
      <w:r>
        <w:t>4.2 首页模块</w:t>
      </w:r>
    </w:p>
    <w:p w14:paraId="672B1C0D">
      <w:r>
        <w:t>4.2.1 功能描述</w:t>
      </w:r>
    </w:p>
    <w:p w14:paraId="24139F6E">
      <w:r>
        <w:t>4.2.2 处理流程</w:t>
      </w:r>
    </w:p>
    <w:p w14:paraId="7A88144D">
      <w:r>
        <w:t>4.2.3 依赖接口</w:t>
      </w:r>
    </w:p>
    <w:p w14:paraId="56D5966D">
      <w:r>
        <w:t>4.2.4 异常处理</w:t>
      </w:r>
    </w:p>
    <w:p w14:paraId="6D9807CE">
      <w:r>
        <w:t>4.2.5 特殊规则说明</w:t>
      </w:r>
    </w:p>
    <w:p w14:paraId="4345835E">
      <w:r>
        <w:t>4.3 计划管理模块</w:t>
      </w:r>
    </w:p>
    <w:p w14:paraId="63ECF14C">
      <w:r>
        <w:t>4.4 任务管理模块</w:t>
      </w:r>
    </w:p>
    <w:p w14:paraId="1A6B2B47">
      <w:r>
        <w:t>4.5 角色管理模块</w:t>
      </w:r>
    </w:p>
    <w:p w14:paraId="3112A790">
      <w:r>
        <w:t>4.6 数据填报模块</w:t>
      </w:r>
    </w:p>
    <w:p w14:paraId="3DBCFD43">
      <w:r>
        <w:t>4.7 表单维护模块</w:t>
      </w:r>
    </w:p>
    <w:p w14:paraId="416A41CC">
      <w:r>
        <w:t>4.8 批量处理模块</w:t>
      </w:r>
    </w:p>
    <w:p w14:paraId="35E7A01D">
      <w:r>
        <w:t>4.9 迟漏报统计模块</w:t>
      </w:r>
    </w:p>
    <w:p w14:paraId="54F1E45D">
      <w:r>
        <w:t>4.10 制度包管理模块</w:t>
      </w:r>
    </w:p>
    <w:p w14:paraId="3AFC4959">
      <w:r>
        <w:t>4.11 多法人设计</w:t>
      </w:r>
    </w:p>
    <w:p w14:paraId="3F473BF4">
      <w:r>
        <w:t>4.12 高并发设计</w:t>
      </w:r>
    </w:p>
    <w:p w14:paraId="6A815772">
      <w:r>
        <w:t>5 用户界面整体设计</w:t>
      </w:r>
    </w:p>
    <w:p w14:paraId="270865DE">
      <w:r>
        <w:t>6 测试关键点说明</w:t>
      </w:r>
    </w:p>
    <w:p w14:paraId="5B17F911">
      <w:r>
        <w:t>7 系统出错及维护处理设计</w:t>
      </w:r>
    </w:p>
    <w:p w14:paraId="4E7790B0">
      <w:r>
        <w:t>8 系统性能设计</w:t>
      </w:r>
    </w:p>
    <w:p w14:paraId="24539E91">
      <w:r>
        <w:t>9 系统容量设计</w:t>
      </w:r>
    </w:p>
    <w:p w14:paraId="076E36A6">
      <w:r>
        <w:t>10 系统高可用及容灾设计</w:t>
      </w:r>
    </w:p>
    <w:p w14:paraId="662DE807">
      <w:r>
        <w:t>11 系统安全设计</w:t>
      </w:r>
    </w:p>
    <w:p w14:paraId="06A47873">
      <w:r>
        <w:t>12 接口设计</w:t>
      </w:r>
    </w:p>
    <w:p w14:paraId="3D3E0854">
      <w:r>
        <w:t>13 数据库设计</w:t>
      </w:r>
    </w:p>
    <w:p w14:paraId="4B993416">
      <w:r>
        <w:t>14 日志设计</w:t>
      </w:r>
    </w:p>
    <w:p w14:paraId="286C2350">
      <w:r>
        <w:t>15 应用监控接入设计</w:t>
      </w:r>
    </w:p>
    <w:p w14:paraId="2EAF4C09">
      <w:r>
        <w:t>16 自动化部署接入设计</w:t>
      </w:r>
    </w:p>
    <w:p w14:paraId="10ADEE48">
      <w:r>
        <w:t>17 批处理设计</w:t>
      </w:r>
    </w:p>
    <w:p w14:paraId="113A8142">
      <w:r>
        <w:t>18 机构撤并设计</w:t>
      </w:r>
    </w:p>
    <w:p w14:paraId="19CA5F33">
      <w:r>
        <w:t>19 统一身份认证设计</w:t>
      </w:r>
    </w:p>
    <w:p w14:paraId="5370D19E">
      <w:r>
        <w:t>20 系统字符集设计</w:t>
      </w:r>
    </w:p>
    <w:p w14:paraId="529C5F5E">
      <w:pPr>
        <w:pStyle w:val="3"/>
      </w:pPr>
      <w:r>
        <w:t>1 前言</w:t>
      </w:r>
    </w:p>
    <w:p w14:paraId="13567667">
      <w:pPr>
        <w:pStyle w:val="4"/>
      </w:pPr>
      <w:r>
        <w:t>1.1 目的</w:t>
      </w:r>
    </w:p>
    <w:p w14:paraId="7AD5642E">
      <w:r>
        <w:t>本文档用于架构评审和概要设计评审，明确吉林银行统一监管报送平台升级项目（以下简称 URGS 平台）的总体架构、功能边界、数据流向、运行环境、非功能要求、安全设计和接口设计，为详细设计、开发实施、测试验收和投产运维提供依据。</w:t>
      </w:r>
    </w:p>
    <w:p w14:paraId="0060CBAC">
      <w:pPr>
        <w:pStyle w:val="4"/>
      </w:pPr>
      <w:r>
        <w:t>1.2 背景</w:t>
      </w:r>
    </w:p>
    <w:p w14:paraId="375FF955">
      <w:r>
        <w:t>随着监管报送、数据治理、版本发布和运维协同要求提升，现有分散系统在任务调度、数据资产、血缘影响分析、知识沉淀、AI 辅助审查和发布留痕方面需要统一管理。URGS 平台围绕监管类业务的调度、数据、版本、知识和运维链路建设统一门户，目标是降低人工检索和变更评估成本，提升监管数据加工、发布审批、故障处置和知识复用效率。</w:t>
      </w:r>
    </w:p>
    <w:p w14:paraId="6571E975">
      <w:pPr>
        <w:pStyle w:val="4"/>
      </w:pPr>
      <w:r>
        <w:t>1.3 术语定义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6DFC8B6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9714">
            <w:r>
              <w:rPr>
                <w:b/>
              </w:rPr>
              <w:t>简称/术语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C2F0">
            <w:r>
              <w:rPr>
                <w:b/>
              </w:rPr>
              <w:t>全称</w:t>
            </w:r>
          </w:p>
        </w:tc>
        <w:tc>
          <w:tcPr>
            <w:tcW w:w="48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61188">
            <w:r>
              <w:rPr>
                <w:b/>
              </w:rPr>
              <w:t>说明</w:t>
            </w:r>
          </w:p>
        </w:tc>
      </w:tr>
      <w:tr w14:paraId="6EED248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1231">
            <w:r>
              <w:t>URGS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9B55">
            <w:r>
              <w:t>Unified Resource Governance System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B1AE">
            <w:r>
              <w:t>统一资源治理与调度平台，承载监管任务调度、数据治理、知识中心、版本发布和运维监控能力</w:t>
            </w:r>
          </w:p>
        </w:tc>
      </w:tr>
      <w:tr w14:paraId="678C07F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D479">
            <w:r>
              <w:t>RAG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97AB">
            <w:r>
              <w:t>Retrieval-Augmented Generation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B436">
            <w:r>
              <w:t>检索增强生成，用于 Ark 助手结合知识库、资产和血缘信息回答问题</w:t>
            </w:r>
          </w:p>
        </w:tc>
      </w:tr>
      <w:tr w14:paraId="41266B36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C40B">
            <w:r>
              <w:t>Ark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2084">
            <w:r>
              <w:t>Ark 方舟助手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3FBE">
            <w:r>
              <w:t>前端智能助手入口，支持多智能体、会话历史、引用资料和流式对话</w:t>
            </w:r>
          </w:p>
        </w:tc>
      </w:tr>
      <w:tr w14:paraId="50A78105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3EA4">
            <w:r>
              <w:t>DAG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0C62">
            <w:r>
              <w:t>Directed Acyclic Graph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34F2">
            <w:r>
              <w:t>任务或工作流的有向无环依赖关系</w:t>
            </w:r>
          </w:p>
        </w:tc>
      </w:tr>
      <w:tr w14:paraId="4C297BB9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677E">
            <w:r>
              <w:t>Quartz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7D60">
            <w:r>
              <w:t>Quartz Scheduler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F502">
            <w:r>
              <w:t>后端定时调度组件，用于 Cron 调度和任务实例生成</w:t>
            </w:r>
          </w:p>
        </w:tc>
      </w:tr>
      <w:tr w14:paraId="64C6FCF5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93FA">
            <w:r>
              <w:t>Neo4j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9196">
            <w:r>
              <w:t>图数据库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BA94">
            <w:r>
              <w:t>用于存储和查询表级、字段级血缘关系</w:t>
            </w:r>
          </w:p>
        </w:tc>
      </w:tr>
      <w:tr w14:paraId="4A97FD0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3561">
            <w:r>
              <w:t>元数据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075D">
            <w:r>
              <w:t>Metadata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0E5">
            <w:r>
              <w:t>数据源、表、字段、监管资产、代码值域、维护记录等描述性数据</w:t>
            </w:r>
          </w:p>
        </w:tc>
      </w:tr>
      <w:tr w14:paraId="38D637F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CAB1">
            <w:r>
              <w:t>血缘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2B58">
            <w:r>
              <w:t>Data Lineage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7F94">
            <w:r>
              <w:t>从源表/字段到目标表/字段的数据加工关系、条件依赖和影响范围</w:t>
            </w:r>
          </w:p>
        </w:tc>
      </w:tr>
      <w:tr w14:paraId="519E0734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4EFB">
            <w:r>
              <w:t>Flyway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E84E">
            <w:r>
              <w:t>Database Migration Tool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68B3">
            <w:r>
              <w:t>数据库版本迁移工具，用于管理 MySQL 表结构升级</w:t>
            </w:r>
          </w:p>
        </w:tc>
      </w:tr>
    </w:tbl>
    <w:p w14:paraId="327AC566"/>
    <w:p w14:paraId="58E8BF43">
      <w:pPr>
        <w:pStyle w:val="4"/>
      </w:pPr>
      <w:r>
        <w:t>1.4 参考资料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655B890">
        <w:trPr>
          <w:jc w:val="center"/>
        </w:trPr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55CE">
            <w:r>
              <w:rPr>
                <w:b/>
              </w:rPr>
              <w:t>资料名称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BA09">
            <w:r>
              <w:rPr>
                <w:b/>
              </w:rPr>
              <w:t>来源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7D19">
            <w:r>
              <w:rPr>
                <w:b/>
              </w:rPr>
              <w:t>用途</w:t>
            </w:r>
          </w:p>
        </w:tc>
      </w:tr>
      <w:tr w14:paraId="78FFB1C1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02B4">
            <w:r>
              <w:t>README.md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55B8">
            <w:r>
              <w:t>项目根目录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B8E2">
            <w:r>
              <w:t>项目组成、快速启动、模块边界</w:t>
            </w:r>
          </w:p>
        </w:tc>
      </w:tr>
      <w:tr w14:paraId="66BF0C0E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9597">
            <w:r>
              <w:t>REQUIREMENTS.md / docs/business-requirements.md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425A">
            <w:r>
              <w:t>项目文档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CB2F">
            <w:r>
              <w:t>业务范围、角色、核心功能和流程</w:t>
            </w:r>
          </w:p>
        </w:tc>
      </w:tr>
      <w:tr w14:paraId="24A0637C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06FB">
            <w:r>
              <w:t>deploy/README.md 与 deploy/templates/deploy.prod.env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C7A4">
            <w:r>
              <w:t>部署目录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A227">
            <w:r>
              <w:t>生产部署方式、端口、运行目录和外部依赖</w:t>
            </w:r>
          </w:p>
        </w:tc>
      </w:tr>
      <w:tr w14:paraId="697669E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A3F4">
            <w:r>
              <w:t>urgs-api/pom.xml / application.yml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5C79">
            <w:r>
              <w:t>后端工程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6BD9">
            <w:r>
              <w:t>后端技术栈、运行配置、数据库和 Neo4j 配置</w:t>
            </w:r>
          </w:p>
        </w:tc>
      </w:tr>
      <w:tr w14:paraId="6CBAC13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DB68">
            <w:r>
              <w:t>urgs-web/package.json / permissions/manifest.ts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C25F">
            <w:r>
              <w:t>前端工程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4F69">
            <w:r>
              <w:t>前端技术栈、导航菜单与权限资源</w:t>
            </w:r>
          </w:p>
        </w:tc>
      </w:tr>
      <w:tr w14:paraId="4818278A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9F49">
            <w:r>
              <w:t>sql-lineage-engine/README.md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1754">
            <w:r>
              <w:t>血缘引擎工程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B9B1">
            <w:r>
              <w:t>SQL 解析、Neo4j 导出和血缘验证机制</w:t>
            </w:r>
          </w:p>
        </w:tc>
      </w:tr>
    </w:tbl>
    <w:p w14:paraId="64055463"/>
    <w:p w14:paraId="15FDC5E6">
      <w:pPr>
        <w:pStyle w:val="3"/>
      </w:pPr>
      <w:r>
        <w:t>2 总体架构设计</w:t>
      </w:r>
    </w:p>
    <w:p w14:paraId="0B133660">
      <w:pPr>
        <w:pStyle w:val="4"/>
      </w:pPr>
      <w:r>
        <w:t>2.1 应用架构</w:t>
      </w:r>
    </w:p>
    <w:p w14:paraId="0125CA4F">
      <w:pPr>
        <w:pStyle w:val="5"/>
      </w:pPr>
      <w:r>
        <w:t>2.1.1 应用架构图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应用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2-1 URGS 应用架构图</w:t>
      </w:r>
    </w:p>
    <w:p w14:paraId="2EA72C0B">
      <w:r>
        <w:t>URGS 平台采用前后端分离、核心后端服务、分布式执行器、RAG 智能服务和 SQL 血缘引擎协同的应用架构。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5F36209">
        <w:trPr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CEDE">
            <w:r>
              <w:rPr>
                <w:b/>
              </w:rPr>
              <w:t>层级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7226">
            <w:r>
              <w:rPr>
                <w:b/>
              </w:rPr>
              <w:t>组件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ACE7">
            <w:r>
              <w:rPr>
                <w:b/>
              </w:rPr>
              <w:t>职责</w:t>
            </w:r>
          </w:p>
        </w:tc>
      </w:tr>
      <w:tr w14:paraId="640E00E4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72C5">
            <w:r>
              <w:t>用户访问层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DE0A">
            <w:r>
              <w:t>React 前端门户、Nginx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EEEB">
            <w:r>
              <w:t>提供工作台、Ark、公告、版本、数据、运维、知识中心和系统管理入口；Nginx 提供静态资源访问与 API/WS 反向代理</w:t>
            </w:r>
          </w:p>
        </w:tc>
      </w:tr>
      <w:tr w14:paraId="7FD3D1F8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D1BE">
            <w:r>
              <w:t>业务服务层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58B8">
            <w:r>
              <w:t>urgs-api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3033">
            <w:r>
              <w:t>承载认证、权限、调度、元数据、血缘、版本、公告、知识、AI 配置、运维和系统管理等核心业务接口</w:t>
            </w:r>
          </w:p>
        </w:tc>
      </w:tr>
      <w:tr w14:paraId="1C3F00CA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296C">
            <w:r>
              <w:t>任务执行层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106B">
            <w:r>
              <w:t>urgs-executor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126A">
            <w:r>
              <w:t>按拉模式获取待执行任务实例，执行 Shell、SQL、Python、DataX、HTTP、存储过程等任务并回传状态和日志</w:t>
            </w:r>
          </w:p>
        </w:tc>
      </w:tr>
      <w:tr w14:paraId="45AF1966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44E1">
            <w:r>
              <w:t>智能服务层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308E">
            <w:bookmarkStart w:id="0" w:name="_GoBack"/>
            <w:bookmarkEnd w:id="0"/>
            <w:r>
              <w:t>LLM 服务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E74D">
            <w:r>
              <w:t>提供知识库检索、文档向量化、上下文召回、智能问答和 SQL/血缘解释能力</w:t>
            </w:r>
          </w:p>
        </w:tc>
      </w:tr>
      <w:tr w14:paraId="756B0705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76B3">
            <w:r>
              <w:t>血缘解析层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73A9">
            <w:r>
              <w:t>sql-lineage-engine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84DE">
            <w:r>
              <w:t>基于 GSP 与 SQLGlot 解析多方言 SQL，生成表级和字段级血缘并导出 Neo4j</w:t>
            </w:r>
          </w:p>
        </w:tc>
      </w:tr>
      <w:tr w14:paraId="2C9C0CB1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2489">
            <w:r>
              <w:t>数据存储层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4325">
            <w:r>
              <w:t>MySQL、Neo4j、Redis、文件存储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0A45">
            <w:r>
              <w:t>MySQL 保存业务数据；Neo4j 保存血缘图谱；Redis 支撑运行态缓存；文件系统保存上传文件、RAG 文档和投产包</w:t>
            </w:r>
          </w:p>
        </w:tc>
      </w:tr>
    </w:tbl>
    <w:p w14:paraId="28CAF38B"/>
    <w:p w14:paraId="0CC110BB">
      <w:pPr>
        <w:pStyle w:val="5"/>
      </w:pPr>
      <w:r>
        <w:t>2.1.2 关联系统架构图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关联系统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2-2 URGS 关联系统架构图</w:t>
      </w:r>
    </w:p>
    <w:p w14:paraId="7D5DB9B6">
      <w:r>
        <w:t>URGS 与监管系统、代码仓库、流水线、数据源、LLM 服务和运维基础设施通过接口或配置集成。监管类系统通过工作台快捷入口、公告关联、版本台账和调度任务与平台联动；数据源通过元数据同步和 SQL 执行能力接入；GitLab/Gitee/GitHub 通过仓库、Pull Request、Webhook 和流水线接口接入；LLM/RAG 服务通过 HTTP API 接入；Neo4j 提供血缘图谱存取。</w:t>
      </w:r>
    </w:p>
    <w:p w14:paraId="78BBC071">
      <w:pPr>
        <w:pStyle w:val="4"/>
      </w:pPr>
      <w:r>
        <w:t>2.2 技术架构</w:t>
      </w:r>
    </w:p>
    <w:p w14:paraId="325A0CA2">
      <w:pPr>
        <w:pStyle w:val="5"/>
      </w:pPr>
      <w:r>
        <w:t>2.2.1 技术架构图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技术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2-3 URGS 技术架构图</w:t>
      </w:r>
    </w:p>
    <w:p w14:paraId="429C3764">
      <w:r>
        <w:t>技术架构按照“浏览器/Nginx - Spring Boot API - Executor/RAG/Lineage - MySQL/Neo4j/Redis/文件存储”的链路组织。前端通过 fetch 封装统一携带 Authorization 与 X-User-Id；后端以 Controller → Service → Repository/Mapper 分层组织；执行器与 API 通过 HTTP 和数据库状态表协作；血缘引擎通过共享目录和命令行调用完成解析；RAG 服务通过独立端口提供检索增强能力。</w:t>
      </w:r>
    </w:p>
    <w:p w14:paraId="0F5341CF">
      <w:pPr>
        <w:pStyle w:val="5"/>
      </w:pPr>
      <w:r>
        <w:t>2.2.2 技术路线（技术栈）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C288674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5A38">
            <w:r>
              <w:rPr>
                <w:b/>
              </w:rPr>
              <w:t>产品类别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0CB8">
            <w:r>
              <w:rPr>
                <w:b/>
              </w:rPr>
              <w:t>产品名称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3EB2">
            <w:r>
              <w:rPr>
                <w:b/>
              </w:rPr>
              <w:t>当前项目版本/要求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5315">
            <w:r>
              <w:rPr>
                <w:b/>
              </w:rPr>
              <w:t>说明</w:t>
            </w:r>
          </w:p>
        </w:tc>
      </w:tr>
      <w:tr w14:paraId="1B2D79C4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898D">
            <w:r>
              <w:t>操作系统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A90F">
            <w:r>
              <w:t>Linux / 银河麒麟兼容环境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2115">
            <w:r>
              <w:t>生产模板按 Linux 运行目录设计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45B3">
            <w:r>
              <w:t>脚本、Nginx、Redis、Java、Python 服务均按 Linux 服务部署</w:t>
            </w:r>
          </w:p>
        </w:tc>
      </w:tr>
      <w:tr w14:paraId="7E603A1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2821">
            <w:r>
              <w:t>后端框架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2DDB">
            <w:r>
              <w:t>Spring Boot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5627">
            <w:r>
              <w:t>3.2.4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6D58">
            <w:r>
              <w:t>urgs-api 与 urgs-executor 均采用 Spring Boot 3</w:t>
            </w:r>
          </w:p>
        </w:tc>
      </w:tr>
      <w:tr w14:paraId="6E11487D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F2B1">
            <w:r>
              <w:t>JDK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1B43">
            <w:r>
              <w:t>Java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E905">
            <w:r>
              <w:t>17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459F">
            <w:r>
              <w:t>Maven 编译 release 17</w:t>
            </w:r>
          </w:p>
        </w:tc>
      </w:tr>
      <w:tr w14:paraId="2E69EDD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E453">
            <w:r>
              <w:t>ORM/持久层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EEC5">
            <w:r>
              <w:t>JPA / MyBatis-Plus / JDBC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638A">
            <w:r>
              <w:t>MyBatis-Plus 3.5.6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7AE0">
            <w:r>
              <w:t>兼顾实体建模、SQL Mapper 和多数据源查询</w:t>
            </w:r>
          </w:p>
        </w:tc>
      </w:tr>
      <w:tr w14:paraId="129E0788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83EE">
            <w:r>
              <w:t>调度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4C60">
            <w:r>
              <w:t>Quartz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F8F0B">
            <w:r>
              <w:t>Spring Boot Quartz Starter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8D1E">
            <w:r>
              <w:t>Cron 定时、任务实例、依赖关系和日志</w:t>
            </w:r>
          </w:p>
        </w:tc>
      </w:tr>
      <w:tr w14:paraId="1C1C78C9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5163">
            <w:r>
              <w:t>数据库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DF5C">
            <w:r>
              <w:t>MySQL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A817">
            <w:r>
              <w:t>8.0+ 兼容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054E">
            <w:r>
              <w:t>业务库与 Flyway 迁移脚本管理</w:t>
            </w:r>
          </w:p>
        </w:tc>
      </w:tr>
      <w:tr w14:paraId="44650FB0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2550">
            <w:r>
              <w:t>图数据库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2FA6">
            <w:r>
              <w:t>Neo4j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8C57">
            <w:r>
              <w:t>5.x 兼容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F8BE">
            <w:r>
              <w:t>表级/字段级血缘图谱</w:t>
            </w:r>
          </w:p>
        </w:tc>
      </w:tr>
      <w:tr w14:paraId="1CA0013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ACBE">
            <w:r>
              <w:t>前端框架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02D5">
            <w:r>
              <w:t>React / Vite / TypeScript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CD29">
            <w:r>
              <w:t>React 19.2.0 / Vite 6.2.0 / TS 5.8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EE7A">
            <w:r>
              <w:t>统一门户、权限菜单和业务组件</w:t>
            </w:r>
          </w:p>
        </w:tc>
      </w:tr>
      <w:tr w14:paraId="61B62CE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03FE">
            <w:r>
              <w:t>UI 组件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884CD">
            <w:r>
              <w:t>Ant Design / TailwindCSS / lucide-react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B91E">
            <w:r>
              <w:t>antd 6.0.0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0726">
            <w:r>
              <w:t>后台管理界面、图标和响应式样式</w:t>
            </w:r>
          </w:p>
        </w:tc>
      </w:tr>
      <w:tr w14:paraId="1B0B047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F245">
            <w:r>
              <w:t>图可视化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BF33">
            <w:r>
              <w:t>ReactFlow / AntV G6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403A">
            <w:r>
              <w:t>ReactFlow 11 / G6 5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0D46">
            <w:r>
              <w:t>工作流和血缘关系可视化</w:t>
            </w:r>
          </w:p>
        </w:tc>
      </w:tr>
      <w:tr w14:paraId="093A61B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6DE4">
            <w:r>
              <w:t>AI/RAG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0839">
            <w:r>
              <w:t>Python RAG 服务 + LLM API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8905">
            <w:r>
              <w:t>Python 3.10+ 推荐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95BA">
            <w:r>
              <w:t>知识库、向量化、检索增强和智能助手</w:t>
            </w:r>
          </w:p>
        </w:tc>
      </w:tr>
      <w:tr w14:paraId="18E0809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18E5">
            <w:r>
              <w:t>SQL 血缘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297C">
            <w:r>
              <w:t>GSP + SQLGlot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5FD6">
            <w:r>
              <w:t>Python 引擎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46D9">
            <w:r>
              <w:t>多方言 SQL、存储过程、字段级血缘和 Neo4j 导出</w:t>
            </w:r>
          </w:p>
        </w:tc>
      </w:tr>
    </w:tbl>
    <w:p w14:paraId="454FFA34"/>
    <w:p w14:paraId="7A52FE71">
      <w:pPr>
        <w:pStyle w:val="4"/>
      </w:pPr>
      <w:r>
        <w:t>2.3 网络与物理架构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网络与物理部署架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2-4 URGS 网络与物理部署架构图</w:t>
      </w:r>
    </w:p>
    <w:p w14:paraId="5555E3A6">
      <w:r>
        <w:t>生产环境采用 Nginx 作为 Web 与 API 入口。前端静态资源由 Nginx 监听 WEB_LISTEN_PORT，/api、/uploads、/profile、/ws 等路径代理至 API 节点，RAG 路径代理至 RAG 服务。API 可配置多节点 upstream，当前生产模板支持 API_UPSTREAM_SERVERS 与 ip_hash 粘性转发；IM/WebSocket 可通过 IM_API_TARGET 固定至指定 API 节点。数据库、Neo4j、Redis 和业务文件存储部署在内网受控环境，外部用户不直接访问数据存储。</w:t>
      </w:r>
    </w:p>
    <w:p w14:paraId="5032AE84">
      <w:pPr>
        <w:pStyle w:val="4"/>
      </w:pPr>
      <w:r>
        <w:t>2.4 数据架构</w:t>
      </w:r>
    </w:p>
    <w:p w14:paraId="13357D92">
      <w:pPr>
        <w:pStyle w:val="5"/>
      </w:pPr>
      <w:r>
        <w:t>2.4.1 分布式数据库设计说明</w:t>
      </w:r>
    </w:p>
    <w:p w14:paraId="23276B4D">
      <w:r>
        <w:t>当前 URGS 以 MySQL 作为主业务数据库，使用 Flyway 管理结构迁移；Neo4j 作为血缘图数据库；Redis 用于运行态缓存和组件运行数据；文件系统统一保存上传附件、RAG 文档、向量持久化目录、投产包、血缘共享目录和运行日志。数据库设计以业务域表、调度运行表、版本发布表、知识文档表、元数据治理表和血缘审核表为核心，满足统一治理和可追溯要求。</w:t>
      </w:r>
    </w:p>
    <w:p w14:paraId="4B4D1123">
      <w:pPr>
        <w:pStyle w:val="5"/>
      </w:pPr>
      <w:r>
        <w:t>2.4.2 数据分布与主数据说明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4599D65">
        <w:trPr>
          <w:jc w:val="center"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BA62">
            <w:r>
              <w:rPr>
                <w:b/>
              </w:rPr>
              <w:t>数据类别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1FF8">
            <w:r>
              <w:rPr>
                <w:b/>
              </w:rPr>
              <w:t>主要存储</w:t>
            </w:r>
          </w:p>
        </w:tc>
        <w:tc>
          <w:tcPr>
            <w:tcW w:w="51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94DA">
            <w:r>
              <w:rPr>
                <w:b/>
              </w:rPr>
              <w:t>说明</w:t>
            </w:r>
          </w:p>
        </w:tc>
      </w:tr>
      <w:tr w14:paraId="21AD1422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8DEA">
            <w:r>
              <w:t>用户、机构、角色、权限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95A7">
            <w:r>
              <w:t>MySQL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385E">
            <w:r>
              <w:t>支撑登录、菜单权限、按钮权限和数据隔离</w:t>
            </w:r>
          </w:p>
        </w:tc>
      </w:tr>
      <w:tr w14:paraId="62193F48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39DC">
            <w:r>
              <w:t>调度任务、实例、依赖、日志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D97A">
            <w:r>
              <w:t>MySQL / 文件日志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A300">
            <w:r>
              <w:t>任务定义、Quartz 配置、实例状态、执行日志和重跑记录</w:t>
            </w:r>
          </w:p>
        </w:tc>
      </w:tr>
      <w:tr w14:paraId="4B7A5542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8259">
            <w:r>
              <w:t>元数据模型、监管资产、代码值域、维护记录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F1F1">
            <w:r>
              <w:t>MySQL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ADBA">
            <w:r>
              <w:t>支撑监管资产线上化管理、字段口径维护和变更留痕</w:t>
            </w:r>
          </w:p>
        </w:tc>
      </w:tr>
      <w:tr w14:paraId="006CB2C5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F622">
            <w:r>
              <w:t>血缘关系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86EA">
            <w:r>
              <w:t>Neo4j / MySQL 审核记录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5EC87">
            <w:r>
              <w:t>Neo4j 保存图谱，MySQL 保存血缘解析、AI 审核和人工确认信息</w:t>
            </w:r>
          </w:p>
        </w:tc>
      </w:tr>
      <w:tr w14:paraId="634CC494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595C">
            <w:r>
              <w:t>知识文档、附件、RAG 索引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D7A5">
            <w:r>
              <w:t>文件系统 / 向量库目录 / MySQL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64DB">
            <w:r>
              <w:t>文件内容、文档元数据、标签、收藏、向量化结果和引用记录</w:t>
            </w:r>
          </w:p>
        </w:tc>
      </w:tr>
      <w:tr w14:paraId="646985AE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E606">
            <w:r>
              <w:t>版本、仓库、流水线、投产包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F60C">
            <w:r>
              <w:t>MySQL / 文件系统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76C5">
            <w:r>
              <w:t>发布台账、部署环境、流水线运行、投产包和下载记录</w:t>
            </w:r>
          </w:p>
        </w:tc>
      </w:tr>
    </w:tbl>
    <w:p w14:paraId="371E7B0B"/>
    <w:p w14:paraId="76E4AB86">
      <w:pPr>
        <w:pStyle w:val="5"/>
      </w:pPr>
      <w:r>
        <w:t>2.4.3 数据流向设计说明</w:t>
      </w:r>
    </w:p>
    <w:p w14:paraId="7B1A1E1F">
      <w:pPr>
        <w:pStyle w:val="14"/>
      </w:pPr>
      <w:r>
        <w:t>任务调度数据流：用户维护任务与依赖 → Quartz 生成或触发任务实例 → 执行器拉取待执行实例 → 执行脚本/SQL/HTTP 等任务 → 回传状态与日志 → 工作台和任务实例页面展示。</w:t>
      </w:r>
    </w:p>
    <w:p w14:paraId="53EDE22C">
      <w:pPr>
        <w:pStyle w:val="14"/>
      </w:pPr>
      <w:r>
        <w:t>元数据与血缘数据流：数据源配置 → 元数据同步或 DDL 导入 → 模型/资产/字段维护 → 生成 metadata-pack.json → 血缘引擎解析 SQL → Neo4j 入库 → 血缘溯源、影响分析和 AI 审核。</w:t>
      </w:r>
    </w:p>
    <w:p w14:paraId="0316C974">
      <w:pPr>
        <w:pStyle w:val="14"/>
      </w:pPr>
      <w:r>
        <w:t>知识与 AI 数据流：文档上传/维护 → RAG 服务分片与索引 → Ark 会话发起 → 检索相关资料 → 组装上下文调用 LLM → 返回答案、引用资料和会话记录。</w:t>
      </w:r>
    </w:p>
    <w:p w14:paraId="5FC58F86">
      <w:pPr>
        <w:pStyle w:val="14"/>
      </w:pPr>
      <w:r>
        <w:t>版本发布数据流：系统/仓库维护 → 流水线触发或 Webhook 回写 → 版本发布台账登记 → AI 智查与审批 → 投产包管理 → 部署记录和回滚记录留痕。</w:t>
      </w:r>
    </w:p>
    <w:p w14:paraId="3F243839">
      <w:pPr>
        <w:pStyle w:val="5"/>
      </w:pPr>
      <w:r>
        <w:t>2.4.4 数据服务情况说明</w:t>
      </w:r>
    </w:p>
    <w:p w14:paraId="403B9DB2">
      <w:r>
        <w:t>系统对前端提供 REST API、WebSocket/流式会话接口和文件下载接口；对内部服务提供执行器接口、RAG 服务接口、血缘引擎命令调用和共享目录；对运维提供日志、部署包、Nginx 配置渲染和服务启停脚本。接口默认经 Nginx 和后端权限逻辑控制，敏感操作通过角色权限和操作留痕约束。</w:t>
      </w:r>
    </w:p>
    <w:p w14:paraId="6B08D183">
      <w:pPr>
        <w:pStyle w:val="5"/>
      </w:pPr>
      <w:r>
        <w:t>2.4.5 数据标准设计说明</w:t>
      </w:r>
    </w:p>
    <w:p w14:paraId="640754E2">
      <w:pPr>
        <w:pStyle w:val="16"/>
      </w:pPr>
      <w:r>
        <w:t>数据库字符集统一采用 UTF-8/utf8mb4，应用侧显式使用 UTF-8 编码和 Asia/Shanghai 时区。</w:t>
      </w:r>
    </w:p>
    <w:p w14:paraId="36C99F01">
      <w:pPr>
        <w:pStyle w:val="16"/>
      </w:pPr>
      <w:r>
        <w:t>业务表结构变更通过 Flyway 迁移脚本管理，Entity 字段变化必须同步迁移脚本。</w:t>
      </w:r>
    </w:p>
    <w:p w14:paraId="5DE3B541">
      <w:pPr>
        <w:pStyle w:val="16"/>
      </w:pPr>
      <w:r>
        <w:t>元数据字段、监管资产字段和代码值域需维护名称、口径、来源、版本和变更记录，支撑可追溯。</w:t>
      </w:r>
    </w:p>
    <w:p w14:paraId="6B3D014D">
      <w:pPr>
        <w:pStyle w:val="16"/>
      </w:pPr>
      <w:r>
        <w:t>血缘解析对表名、字段名进行标准化处理，并结合 metadata-pack 提升 SELECT * 展开、默认 schema 和字段消歧准确度。</w:t>
      </w:r>
    </w:p>
    <w:p w14:paraId="0C2608D1">
      <w:pPr>
        <w:pStyle w:val="5"/>
      </w:pPr>
      <w:r>
        <w:t>2.4.6 批处理任务及调度说明</w:t>
      </w:r>
    </w:p>
    <w:p w14:paraId="28EEBD49">
      <w:r>
        <w:t>批处理由 Quartz 调度中心和执行器共同完成。任务类型包括 Shell、SQL、Python、DataX、HTTP、存储过程等；支持 Cron 配置、任务依赖、实例状态流转、重跑、批量重跑、停止、强制成功、日志查看和统计分析。监管批量模块面向任务定义和任务实例提供运维入口。</w:t>
      </w:r>
    </w:p>
    <w:p w14:paraId="735B1D57">
      <w:pPr>
        <w:pStyle w:val="5"/>
      </w:pPr>
      <w:r>
        <w:t>2.4.7 数据清理与备份策略说明</w:t>
      </w:r>
    </w:p>
    <w:p w14:paraId="173A2B44">
      <w:r>
        <w:t>数据库建议按银行运维策略执行定期全量备份和增量备份；文件目录 DATA_ROOT 下的上传文件、投产包、RAG 文档、向量目录、血缘共享目录和日志目录需纳入备份范围。任务实例日志、AI 会话、血缘解析记录、发布记录和问题登记记录应按审计要求保留，超期清理需先满足监管留痕和问题追溯要求。</w:t>
      </w:r>
    </w:p>
    <w:p w14:paraId="03B87FC3">
      <w:pPr>
        <w:pStyle w:val="4"/>
      </w:pPr>
      <w:r>
        <w:t>2.5 其他架构说明</w:t>
      </w:r>
    </w:p>
    <w:p w14:paraId="5470D7B5">
      <w:r>
        <w:t>平台支持 Docker Compose 快速启动，也支持非 Docker 固定目录部署。非 Docker 部署以 /home/urgs/urgs-app 为固定运行目录，部署脚本可同步服务、组件、配置和备份旧文件，便于测试、准生产和生产环境一致化交付。</w:t>
      </w:r>
    </w:p>
    <w:p w14:paraId="1955B735">
      <w:pPr>
        <w:pStyle w:val="3"/>
      </w:pPr>
      <w:r>
        <w:t>3 系统环境描述</w:t>
      </w:r>
    </w:p>
    <w:p w14:paraId="0259296A">
      <w:pPr>
        <w:pStyle w:val="4"/>
      </w:pPr>
      <w:r>
        <w:t>3.1 生产运行环境</w:t>
      </w:r>
    </w:p>
    <w:p w14:paraId="1E50A716">
      <w:pPr>
        <w:pStyle w:val="5"/>
      </w:pPr>
      <w:r>
        <w:t>3.1.1 硬件环境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436483A1">
        <w:trPr>
          <w:jc w:val="center"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15DC">
            <w:r>
              <w:rPr>
                <w:b/>
              </w:rPr>
              <w:t>序号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3516">
            <w:r>
              <w:rPr>
                <w:b/>
              </w:rPr>
              <w:t>服务器用途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559A">
            <w:r>
              <w:rPr>
                <w:b/>
              </w:rPr>
              <w:t>类型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85A3">
            <w:r>
              <w:rPr>
                <w:b/>
              </w:rPr>
              <w:t>建议配置</w:t>
            </w:r>
          </w:p>
        </w:tc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90CB">
            <w:r>
              <w:rPr>
                <w:b/>
              </w:rPr>
              <w:t>数量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08E4">
            <w:r>
              <w:rPr>
                <w:b/>
              </w:rPr>
              <w:t>备注</w:t>
            </w:r>
          </w:p>
        </w:tc>
      </w:tr>
      <w:tr w14:paraId="64C37104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21DE">
            <w:r>
              <w:t>1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23DC">
            <w:r>
              <w:t>Web/API 应用节点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5308">
            <w:r>
              <w:t>虚拟机/物理机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8D25A">
            <w:r>
              <w:t>16C 32G 200G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563C">
            <w:r>
              <w:t>2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320F">
            <w:r>
              <w:t>运行 Nginx、urgs-api，可按 API_UPSTREAM_SERVERS 横向扩展</w:t>
            </w:r>
          </w:p>
        </w:tc>
      </w:tr>
      <w:tr w14:paraId="6F063E8C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149D">
            <w:r>
              <w:t>2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3E86">
            <w:r>
              <w:t>执行器节点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F662">
            <w:r>
              <w:t>虚拟机/物理机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7085">
            <w:r>
              <w:t>8C 16G 200G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128F">
            <w:r>
              <w:t>1+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4CB8">
            <w:r>
              <w:t>运行 urgs-executor，可按任务量增加节点</w:t>
            </w:r>
          </w:p>
        </w:tc>
      </w:tr>
      <w:tr w14:paraId="67B83F02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3C7F">
            <w:r>
              <w:t>3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8E7A">
            <w:r>
              <w:t>RAG/AI 服务节点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1955">
            <w:r>
              <w:t>虚拟机/物理机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142E">
            <w:r>
              <w:t>8C 16G 500G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3C07">
            <w:r>
              <w:t>1+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B3FF">
            <w:r>
              <w:t>保存文档、向量索引和检索服务</w:t>
            </w:r>
          </w:p>
        </w:tc>
      </w:tr>
      <w:tr w14:paraId="04EC815A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B598">
            <w:r>
              <w:t>4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B390">
            <w:r>
              <w:t>数据库服务器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1C4A">
            <w:r>
              <w:t>虚拟机/物理机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6099">
            <w:r>
              <w:t>16C 32G 1TB+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3D35">
            <w:r>
              <w:t>2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A2DF">
            <w:r>
              <w:t>MySQL 主备或集群，由行内数据库规范落地</w:t>
            </w:r>
          </w:p>
        </w:tc>
      </w:tr>
      <w:tr w14:paraId="12A1125F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7D08">
            <w:r>
              <w:t>5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ACA3">
            <w:r>
              <w:t>Neo4j/Redis/文件存储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57D6">
            <w:r>
              <w:t>虚拟机/存储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D2BA">
            <w:r>
              <w:t>8C 16G 500G+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80AD">
            <w:r>
              <w:t>1+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F2C3">
            <w:r>
              <w:t>Neo4j、Redis、DATA_ROOT，可按容量扩展</w:t>
            </w:r>
          </w:p>
        </w:tc>
      </w:tr>
    </w:tbl>
    <w:p w14:paraId="6896FEE3"/>
    <w:p w14:paraId="1DF7FAE0">
      <w:pPr>
        <w:pStyle w:val="5"/>
      </w:pPr>
      <w:r>
        <w:t>3.1.2 软件环境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824958A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5F71">
            <w:r>
              <w:rPr>
                <w:b/>
              </w:rPr>
              <w:t>服务器类型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E21E">
            <w:r>
              <w:rPr>
                <w:b/>
              </w:rPr>
              <w:t>软件类型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C8B3">
            <w:r>
              <w:rPr>
                <w:b/>
              </w:rPr>
              <w:t>名称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5433">
            <w:r>
              <w:rPr>
                <w:b/>
              </w:rPr>
              <w:t>版本/要求</w:t>
            </w:r>
          </w:p>
        </w:tc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FAFF">
            <w:r>
              <w:rPr>
                <w:b/>
              </w:rPr>
              <w:t>备注</w:t>
            </w:r>
          </w:p>
        </w:tc>
      </w:tr>
      <w:tr w14:paraId="51A6A94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4681">
            <w:r>
              <w:t>应用服务器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E7C7">
            <w:r>
              <w:t>运行环境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CE2F">
            <w:r>
              <w:t>Java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5AEF">
            <w:r>
              <w:t>17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E2EF">
            <w:r>
              <w:t>urgs-api、urgs-executor</w:t>
            </w:r>
          </w:p>
        </w:tc>
      </w:tr>
      <w:tr w14:paraId="0C729F4F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471A">
            <w:r>
              <w:t>应用服务器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9C10">
            <w:r>
              <w:t>运行环境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9704">
            <w:r>
              <w:t>Python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713E">
            <w:r>
              <w:t>3.10+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1CCB">
            <w:r>
              <w:t>RAG 与 SQL 血缘引擎</w:t>
            </w:r>
          </w:p>
        </w:tc>
      </w:tr>
      <w:tr w14:paraId="192CC224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B324">
            <w:r>
              <w:t>Web 服务器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714A">
            <w:r>
              <w:t>中间件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B0CB">
            <w:r>
              <w:t>Nginx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32AA">
            <w:r>
              <w:t>部署包组件或系统安装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7986">
            <w:r>
              <w:t>静态资源、API、WebSocket 代理</w:t>
            </w:r>
          </w:p>
        </w:tc>
      </w:tr>
      <w:tr w14:paraId="17A13C1D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C0C5">
            <w:r>
              <w:t>缓存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D905">
            <w:r>
              <w:t>中间件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35BC">
            <w:r>
              <w:t>Redis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9ACC">
            <w:r>
              <w:t>部署包组件或系统安装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B3E5">
            <w:r>
              <w:t>运行态缓存和组件数据</w:t>
            </w:r>
          </w:p>
        </w:tc>
      </w:tr>
      <w:tr w14:paraId="410C0AD9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EBEE">
            <w:r>
              <w:t>数据库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D3D9">
            <w:r>
              <w:t>关系型数据库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3A3E">
            <w:r>
              <w:t>MySQL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B20E">
            <w:r>
              <w:t>8.0+ 兼容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23DB">
            <w:r>
              <w:t>业务库 urgs</w:t>
            </w:r>
          </w:p>
        </w:tc>
      </w:tr>
      <w:tr w14:paraId="7ED2956E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42D7">
            <w:r>
              <w:t>图数据库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644F">
            <w:r>
              <w:t>图数据库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796B">
            <w:r>
              <w:t>Neo4j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54A2">
            <w:r>
              <w:t>5.x 兼容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27D5">
            <w:r>
              <w:t>血缘图谱</w:t>
            </w:r>
          </w:p>
        </w:tc>
      </w:tr>
      <w:tr w14:paraId="71A5FE1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9BCA">
            <w:r>
              <w:t>前端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93C6">
            <w:r>
              <w:t>浏览器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84C1">
            <w:r>
              <w:t>Chrome/Edge 等主流浏览器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5075">
            <w:r>
              <w:t>近两年稳定版本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5D94">
            <w:r>
              <w:t>访问 React 前端门户</w:t>
            </w:r>
          </w:p>
        </w:tc>
      </w:tr>
    </w:tbl>
    <w:p w14:paraId="19D6B515"/>
    <w:p w14:paraId="175C0DEF">
      <w:pPr>
        <w:pStyle w:val="5"/>
      </w:pPr>
      <w:r>
        <w:t>3.1.3 负载均衡</w:t>
      </w:r>
    </w:p>
    <w:p w14:paraId="5F7451B4">
      <w:r>
        <w:t>生产模板支持 Nginx 对 API 多节点进行 upstream 代理，API_UPSTREAM_SERVERS 可配置多个后端节点，API_UPSTREAM_STICKY 默认使用 ip_hash 以保持登录态粘性；WebSocket/IM 可通过 IM_API_TARGET 固定到指定 API 节点。健康检查和高可用切换由 Nginx、行内负载均衡及服务监控共同保障。</w:t>
      </w:r>
    </w:p>
    <w:p w14:paraId="018A06B5">
      <w:pPr>
        <w:pStyle w:val="5"/>
      </w:pPr>
      <w:r>
        <w:t>3.1.4 容量设计</w:t>
      </w:r>
    </w:p>
    <w:p w14:paraId="1FB9728A">
      <w:pPr>
        <w:pStyle w:val="5"/>
      </w:pPr>
      <w:r>
        <w:t>数据量分析</w:t>
      </w:r>
    </w:p>
    <w:p w14:paraId="5024D815">
      <w:r>
        <w:t>URGS 的主要容量来自任务实例与日志、知识文档与向量索引、血缘图谱、投产包/附件和发布/审计记录。生产配置将业务上传、RAG 文档、向量库、部署工具目录、血缘共享目录和 Redis 数据统一规划至 /urgs-data/urgs。容量需按文档规模、SQL 脚本规模、任务实例保留周期、血缘解析规模和投产包留存周期持续评估。</w:t>
      </w:r>
    </w:p>
    <w:p w14:paraId="3616B614">
      <w:pPr>
        <w:pStyle w:val="5"/>
      </w:pPr>
      <w:r>
        <w:t>2.系统容量结论</w:t>
      </w:r>
    </w:p>
    <w:p w14:paraId="7B8AFAB3">
      <w:r>
        <w:t>建议生产初始规划 MySQL 数据盘不低于 1TB、DATA_ROOT 不低于 1TB、Neo4j/Redis 数据盘不低于 500GB，并按季度复核任务日志、知识库、向量索引、血缘图谱和投产包增长情况；当单类数据超过阈值时，通过归档、分区、扩盘或独立存储目录扩展。</w:t>
      </w:r>
    </w:p>
    <w:p w14:paraId="202241DC">
      <w:pPr>
        <w:pStyle w:val="4"/>
      </w:pPr>
      <w:r>
        <w:t>3.2 测试环境</w:t>
      </w:r>
    </w:p>
    <w:p w14:paraId="536DFB48">
      <w:pPr>
        <w:pStyle w:val="5"/>
      </w:pPr>
      <w:r>
        <w:t>3.2.1 硬件环境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3386C61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5297">
            <w:r>
              <w:rPr>
                <w:b/>
              </w:rPr>
              <w:t>服务器用途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1C63">
            <w:r>
              <w:rPr>
                <w:b/>
              </w:rPr>
              <w:t>建议配置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F058">
            <w:r>
              <w:rPr>
                <w:b/>
              </w:rPr>
              <w:t>数量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573E">
            <w:r>
              <w:rPr>
                <w:b/>
              </w:rPr>
              <w:t>备注</w:t>
            </w:r>
          </w:p>
        </w:tc>
      </w:tr>
      <w:tr w14:paraId="2F77E0AB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53DF">
            <w:r>
              <w:t>应用/执行器/RAG 合并节点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D87C">
            <w:r>
              <w:t>8C 16G 300G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15B2">
            <w:r>
              <w:t>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7DA5">
            <w:r>
              <w:t>测试环境可合并部署，保留端口隔离</w:t>
            </w:r>
          </w:p>
        </w:tc>
      </w:tr>
      <w:tr w14:paraId="5E73A239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6F1D">
            <w:r>
              <w:t>数据库/Neo4j/Redis 节点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7635">
            <w:r>
              <w:t>8C 16G 500G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5A24">
            <w:r>
              <w:t>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6BA7">
            <w:r>
              <w:t>保存测试数据、血缘图谱和缓存</w:t>
            </w:r>
          </w:p>
        </w:tc>
      </w:tr>
    </w:tbl>
    <w:p w14:paraId="5DB98ECC"/>
    <w:p w14:paraId="6B9168ED">
      <w:pPr>
        <w:pStyle w:val="5"/>
      </w:pPr>
      <w:r>
        <w:t>3.2.2 软件环境</w:t>
      </w:r>
    </w:p>
    <w:p w14:paraId="595740A8">
      <w:r>
        <w:t>测试环境软件版本应与生产保持一致或向生产兼容：Java 17、Python 3.10+、MySQL 8.0+、Neo4j 5.x、Redis、Nginx、Node/Vite 构建产物和同版本部署脚本。测试配置来自 deploy/templates/deploy.sit.env。</w:t>
      </w:r>
    </w:p>
    <w:p w14:paraId="031C429F">
      <w:pPr>
        <w:pStyle w:val="4"/>
      </w:pPr>
      <w:r>
        <w:t>3.3 开发环境</w:t>
      </w:r>
    </w:p>
    <w:p w14:paraId="0AF174FA">
      <w:pPr>
        <w:pStyle w:val="5"/>
      </w:pPr>
      <w:r>
        <w:t>3.3.1 服务器硬件环境</w:t>
      </w:r>
    </w:p>
    <w:p w14:paraId="7F7BE9A7">
      <w:r>
        <w:t>开发环境可使用本地 Mac/Linux 或单台开发服务器运行。建议本地具备 8C 16G 以上资源，安装 MySQL、Neo4j、Java 17、Python 3.10+ 和 Node.js，前后端、执行器、血缘引擎可分别启动。</w:t>
      </w:r>
    </w:p>
    <w:p w14:paraId="63E090B1">
      <w:pPr>
        <w:pStyle w:val="5"/>
      </w:pPr>
      <w:r>
        <w:t>3.3.2 服务器软件环境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1B1F02C">
        <w:trPr>
          <w:jc w:val="center"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DAC8">
            <w:r>
              <w:rPr>
                <w:b/>
              </w:rPr>
              <w:t>组件</w:t>
            </w:r>
          </w:p>
        </w:tc>
        <w:tc>
          <w:tcPr>
            <w:tcW w:w="47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5DF5">
            <w:r>
              <w:rPr>
                <w:b/>
              </w:rPr>
              <w:t>开发启动方式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0ED2">
            <w:r>
              <w:rPr>
                <w:b/>
              </w:rPr>
              <w:t>默认端口/路径</w:t>
            </w:r>
          </w:p>
        </w:tc>
      </w:tr>
      <w:tr w14:paraId="1D7F91CB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ABB9">
            <w:r>
              <w:t>urgs-api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5FD1">
            <w:r>
              <w:t>cd urgs-api &amp;&amp; ./mvnw spring-boot:run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AA32">
            <w:r>
              <w:t>8080</w:t>
            </w:r>
          </w:p>
        </w:tc>
      </w:tr>
      <w:tr w14:paraId="512B708D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2AEE">
            <w:r>
              <w:t>urgs-web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BEC2">
            <w:r>
              <w:t>cd urgs-web &amp;&amp; npm run dev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A352">
            <w:r>
              <w:t>5173</w:t>
            </w:r>
          </w:p>
        </w:tc>
      </w:tr>
      <w:tr w14:paraId="756D879B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FA55">
            <w:r>
              <w:t>urgs-executor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5541">
            <w:r>
              <w:t>cd urgs-executor &amp;&amp; ./mvnw spring-boot:run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7364">
            <w:r>
              <w:t>8082</w:t>
            </w:r>
          </w:p>
        </w:tc>
      </w:tr>
      <w:tr w14:paraId="42C9C85A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AF49">
            <w:r>
              <w:t>RAG 服务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0C94">
            <w:r>
              <w:t>uvicorn app.main:app --reload --port 8001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B01C">
            <w:r>
              <w:t>8001</w:t>
            </w:r>
          </w:p>
        </w:tc>
      </w:tr>
      <w:tr w14:paraId="63821D5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615B">
            <w:r>
              <w:t>sql-lineage-engine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E324">
            <w:r>
              <w:t>./run.sh parse-sql ...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943E">
            <w:r>
              <w:t>命令行调用</w:t>
            </w:r>
          </w:p>
        </w:tc>
      </w:tr>
      <w:tr w14:paraId="128483DB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BB28">
            <w:r>
              <w:t>本地统一启动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3142">
            <w:r>
              <w:t>./start.sh local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E8D4">
            <w:r>
              <w:t>读取 deploy/templates/deploy.local.env</w:t>
            </w:r>
          </w:p>
        </w:tc>
      </w:tr>
    </w:tbl>
    <w:p w14:paraId="6D94FD7C"/>
    <w:p w14:paraId="3464C2C5">
      <w:pPr>
        <w:pStyle w:val="3"/>
      </w:pPr>
      <w:r>
        <w:t>4 功能设计</w:t>
      </w:r>
    </w:p>
    <w:p w14:paraId="125EC7CB">
      <w:pPr>
        <w:pStyle w:val="4"/>
      </w:pPr>
      <w:r>
        <w:t>4.1 功能清单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F1DA4A8">
        <w:trPr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F1F1">
            <w:r>
              <w:rPr>
                <w:b/>
              </w:rPr>
              <w:t>功能点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E7FE">
            <w:r>
              <w:rPr>
                <w:b/>
              </w:rPr>
              <w:t>子功能模块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8618">
            <w:r>
              <w:rPr>
                <w:b/>
              </w:rPr>
              <w:t>功能项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8854">
            <w:r>
              <w:rPr>
                <w:b/>
              </w:rPr>
              <w:t>备注</w:t>
            </w:r>
          </w:p>
        </w:tc>
      </w:tr>
      <w:tr w14:paraId="31A7A188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A6C5">
            <w:r>
              <w:t>首页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6654">
            <w:r>
              <w:t>工作台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9020">
            <w:r>
              <w:t>业务首页、研发首页、运维首页、系统跳转区、统计分析、公告、批量监控、研发流水线/API/日志卡片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BBBB">
            <w:r>
              <w:t>按角色权限展示</w:t>
            </w:r>
          </w:p>
        </w:tc>
      </w:tr>
      <w:tr w14:paraId="263DFA44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C665">
            <w:r>
              <w:t>计划管理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7A75">
            <w:r>
              <w:t>调度计划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EA91">
            <w:r>
              <w:t>Cron 配置、计划启停、任务依赖、工作流实例计划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FC87">
            <w:r>
              <w:t>对应 Quartz 与工作流编排</w:t>
            </w:r>
          </w:p>
        </w:tc>
      </w:tr>
      <w:tr w14:paraId="426869D2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F1D3">
            <w:r>
              <w:t>任务管理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5648">
            <w:r>
              <w:t>任务定义/实例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2433">
            <w:r>
              <w:t>Shell、SQL、Python、DataX、HTTP、存储过程任务；实例重跑、停止、强制成功、日志查看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BA2B">
            <w:r>
              <w:t>由执行器执行</w:t>
            </w:r>
          </w:p>
        </w:tc>
      </w:tr>
      <w:tr w14:paraId="2527CD63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9F43">
            <w:r>
              <w:t>角色管理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843E">
            <w:r>
              <w:t>系统管理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23B7">
            <w:r>
              <w:t>机构、用户、角色、菜单功能、按钮权限、数据源配置、监管系统配置、AI 管理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77EB">
            <w:r>
              <w:t>RBAC 权限体系</w:t>
            </w:r>
          </w:p>
        </w:tc>
      </w:tr>
      <w:tr w14:paraId="265EB68A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CF27">
            <w:r>
              <w:t>数据填报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F595">
            <w:r>
              <w:t>数据管理/监管资产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6838">
            <w:r>
              <w:t>监管资产、字段维护、取数逻辑、生成脚本、代码值域、维护记录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3DAE">
            <w:r>
              <w:t>不再按旧报表填报流程描述</w:t>
            </w:r>
          </w:p>
        </w:tc>
      </w:tr>
      <w:tr w14:paraId="3A7DD321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F5DB">
            <w:r>
              <w:t>表单维护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8666">
            <w:r>
              <w:t>物理模型与模型字段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17F4">
            <w:r>
              <w:t>数据源元数据同步、DDL 导入、模型表/字段维护、字段字典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0948">
            <w:r>
              <w:t>支撑资产与血缘</w:t>
            </w:r>
          </w:p>
        </w:tc>
      </w:tr>
      <w:tr w14:paraId="16C86EFC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57AF">
            <w:r>
              <w:t>批量处理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9834">
            <w:r>
              <w:t>监管批量/调度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2CAF">
            <w:r>
              <w:t>任务定义、实例运行、补跑、依赖校验、批量监控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3084">
            <w:r>
              <w:t>保障监管加工链路</w:t>
            </w:r>
          </w:p>
        </w:tc>
      </w:tr>
      <w:tr w14:paraId="269F95AB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A822">
            <w:r>
              <w:t>迟漏报统计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7460">
            <w:r>
              <w:t>工作台/指标配置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DDAB">
            <w:r>
              <w:t>任务延迟、失败 TOP、运行趋势、监管日历和超期提醒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5841">
            <w:r>
              <w:t>以平台任务时效为统计对象</w:t>
            </w:r>
          </w:p>
        </w:tc>
      </w:tr>
      <w:tr w14:paraId="7288172A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BCFB">
            <w:r>
              <w:t>制度包管理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BAAA">
            <w:r>
              <w:t>知识中心/版本管理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681B">
            <w:r>
              <w:t>知识文档、制度公告、版本包、投产包、发布台账和下载记录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682B">
            <w:r>
              <w:t>形成可追溯资料库</w:t>
            </w:r>
          </w:p>
        </w:tc>
      </w:tr>
      <w:tr w14:paraId="1DFCFA79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6F5E">
            <w:r>
              <w:t>Ark 助手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118E">
            <w:r>
              <w:t>AI/RAG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1A4F">
            <w:r>
              <w:t>多智能体、知识引用、流式对话、会话历史、SQL/血缘解释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F491">
            <w:r>
              <w:t>新增智能能力</w:t>
            </w:r>
          </w:p>
        </w:tc>
      </w:tr>
      <w:tr w14:paraId="7B7B8A2E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0BDC">
            <w:r>
              <w:t>版本管理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B45A">
            <w:r>
              <w:t>发布治理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A3E7">
            <w:r>
              <w:t>应用系统库、Git 仓库、流水线、部署、发布台账、AI 智查、发布统计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D080">
            <w:r>
              <w:t>支撑变更闭环</w:t>
            </w:r>
          </w:p>
        </w:tc>
      </w:tr>
      <w:tr w14:paraId="7271A0B6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8735">
            <w:r>
              <w:t>运维管理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B40D">
            <w:r>
              <w:t>问题与基础设施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25FE">
            <w:r>
              <w:t>生产问题登记、问题转知识库、Docker 日志、基础设施资产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BD08">
            <w:r>
              <w:t>支撑运维闭环</w:t>
            </w:r>
          </w:p>
        </w:tc>
      </w:tr>
    </w:tbl>
    <w:p w14:paraId="71FF7C94"/>
    <w:p w14:paraId="75792BA2">
      <w:pPr>
        <w:pStyle w:val="4"/>
      </w:pPr>
      <w:r>
        <w:t>4.2 首页模块</w:t>
      </w:r>
    </w:p>
    <w:p w14:paraId="50469172">
      <w:pPr>
        <w:pStyle w:val="5"/>
      </w:pPr>
      <w:r>
        <w:t>4.2.1 功能描述</w:t>
      </w:r>
    </w:p>
    <w:p w14:paraId="15798B98">
      <w:r>
        <w:t>首页模块为统一工作台，按照用户角色展示业务首页、研发首页、运维首页及对应卡片。业务用户关注监管系统快捷入口、公告通知、监管日历和数据治理自动化情况；研发用户关注流水线、API 状态、错误日志和版本变更；运维用户关注任务失败/超时、批量监控、执行器状态、基础设施和日志入口。</w:t>
      </w:r>
    </w:p>
    <w:p w14:paraId="412A05BE">
      <w:pPr>
        <w:pStyle w:val="5"/>
      </w:pPr>
      <w:r>
        <w:t>4.2.2 处理流程</w:t>
      </w:r>
    </w:p>
    <w:p w14:paraId="2BECBE88">
      <w:pPr>
        <w:pStyle w:val="14"/>
      </w:pPr>
      <w:r>
        <w:t>用户登录后前端读取 token 和用户信息</w:t>
      </w:r>
    </w:p>
    <w:p w14:paraId="0E9C2F8B">
      <w:pPr>
        <w:pStyle w:val="14"/>
      </w:pPr>
      <w:r>
        <w:t>前端调用 /api/users/permissions 获取菜单和按钮权限</w:t>
      </w:r>
    </w:p>
    <w:p w14:paraId="48CFC7DE">
      <w:pPr>
        <w:pStyle w:val="14"/>
      </w:pPr>
      <w:r>
        <w:t>根据权限渲染工作台卡片并异步加载指标</w:t>
      </w:r>
    </w:p>
    <w:p w14:paraId="4519CAAC">
      <w:pPr>
        <w:pStyle w:val="14"/>
      </w:pPr>
      <w:r>
        <w:t>用户点击卡片跳转到调度、版本、问题、公告、系统或知识中心等模块</w:t>
      </w:r>
    </w:p>
    <w:p w14:paraId="7F1DA890">
      <w:pPr>
        <w:pStyle w:val="5"/>
      </w:pPr>
      <w:r>
        <w:t>4.2.3 依赖接口</w:t>
      </w:r>
    </w:p>
    <w:p w14:paraId="4CDDE2B4">
      <w:r>
        <w:t>主要依赖 /api/users/permissions、/api/system、/api/metrics、/api/task/instance/stats/*、/api/version/stats/*、/api/announcement 等接口。</w:t>
      </w:r>
    </w:p>
    <w:p w14:paraId="5A6A9129">
      <w:pPr>
        <w:pStyle w:val="5"/>
      </w:pPr>
      <w:r>
        <w:t>4.2.4 异常处理</w:t>
      </w:r>
    </w:p>
    <w:p w14:paraId="23EFFE06">
      <w:r>
        <w:t>无权限时隐藏对应卡片；接口 401 时清理本地登录态并回到登录页；单个卡片加载失败不影响其他卡片展示，应显示空态或错误提示。</w:t>
      </w:r>
    </w:p>
    <w:p w14:paraId="619C6E7B">
      <w:pPr>
        <w:pStyle w:val="5"/>
      </w:pPr>
      <w:r>
        <w:t>4.2.5 特殊规则说明</w:t>
      </w:r>
    </w:p>
    <w:p w14:paraId="6103DA75">
      <w:r>
        <w:t>工作台支持侧边栏/顶部导航偏好保存，前端保存在 localStorage；首页指标卡片按角色和权限资源控制展示。</w:t>
      </w:r>
    </w:p>
    <w:p w14:paraId="287F218E">
      <w:pPr>
        <w:pStyle w:val="4"/>
      </w:pPr>
      <w:r>
        <w:t>4.3 计划管理模块</w:t>
      </w:r>
    </w:p>
    <w:p w14:paraId="39100C02">
      <w:pPr>
        <w:pStyle w:val="5"/>
      </w:pPr>
      <w:r>
        <w:t>功能描述</w:t>
      </w:r>
    </w:p>
    <w:p w14:paraId="07D6D55C">
      <w:r>
        <w:t>计划管理用于维护调度计划、Cron 表达式、工作流触发策略和任务依赖，是监管批量和自动化运维的入口。</w:t>
      </w:r>
    </w:p>
    <w:p w14:paraId="059E1E3F">
      <w:pPr>
        <w:pStyle w:val="5"/>
      </w:pPr>
      <w:r>
        <w:t>处理流程</w:t>
      </w:r>
    </w:p>
    <w:p w14:paraId="455D6D86">
      <w:pPr>
        <w:pStyle w:val="14"/>
      </w:pPr>
      <w:r>
        <w:t>创建或编辑调度计划</w:t>
      </w:r>
    </w:p>
    <w:p w14:paraId="48CCED44">
      <w:pPr>
        <w:pStyle w:val="14"/>
      </w:pPr>
      <w:r>
        <w:t>配置 Cron、依赖、优先级和启停状态</w:t>
      </w:r>
    </w:p>
    <w:p w14:paraId="4A8B7C92">
      <w:pPr>
        <w:pStyle w:val="14"/>
      </w:pPr>
      <w:r>
        <w:t>Quartz 按计划生成任务实例</w:t>
      </w:r>
    </w:p>
    <w:p w14:paraId="5BF07E4C">
      <w:pPr>
        <w:pStyle w:val="14"/>
      </w:pPr>
      <w:r>
        <w:t>执行器按实例状态拉取执行</w:t>
      </w:r>
    </w:p>
    <w:p w14:paraId="7C9C0039">
      <w:pPr>
        <w:pStyle w:val="5"/>
      </w:pPr>
      <w:r>
        <w:t>依赖接口</w:t>
      </w:r>
    </w:p>
    <w:p w14:paraId="0F0E86C8">
      <w:r>
        <w:t>/api/quartz、/api/workflow、/api/task</w:t>
      </w:r>
    </w:p>
    <w:p w14:paraId="1D7949F3">
      <w:pPr>
        <w:pStyle w:val="5"/>
      </w:pPr>
      <w:r>
        <w:t>异常处理</w:t>
      </w:r>
    </w:p>
    <w:p w14:paraId="0734CF72">
      <w:r>
        <w:t>Cron 表达式非法、依赖形成环路、任务不存在或数据源不可用时拒绝保存或执行。</w:t>
      </w:r>
    </w:p>
    <w:p w14:paraId="040D2313">
      <w:pPr>
        <w:pStyle w:val="5"/>
      </w:pPr>
      <w:r>
        <w:t>特殊规则说明</w:t>
      </w:r>
    </w:p>
    <w:p w14:paraId="5EDFE34D">
      <w:r>
        <w:t>计划启停和手工触发需受角色权限控制。</w:t>
      </w:r>
    </w:p>
    <w:p w14:paraId="1781D0C2">
      <w:pPr>
        <w:pStyle w:val="4"/>
      </w:pPr>
      <w:r>
        <w:t>4.4 任务管理模块</w:t>
      </w:r>
    </w:p>
    <w:p w14:paraId="0F354C87">
      <w:pPr>
        <w:pStyle w:val="5"/>
      </w:pPr>
      <w:r>
        <w:t>功能描述</w:t>
      </w:r>
    </w:p>
    <w:p w14:paraId="4C52A045">
      <w:r>
        <w:t>任务管理覆盖任务定义、任务实例、依赖校验、重跑、停止、强制成功、日志查看和运行统计。</w:t>
      </w:r>
    </w:p>
    <w:p w14:paraId="348C96DD">
      <w:pPr>
        <w:pStyle w:val="5"/>
      </w:pPr>
      <w:r>
        <w:t>处理流程</w:t>
      </w:r>
    </w:p>
    <w:p w14:paraId="6F8E9CC8">
      <w:pPr>
        <w:pStyle w:val="14"/>
      </w:pPr>
      <w:r>
        <w:t>维护任务定义</w:t>
      </w:r>
    </w:p>
    <w:p w14:paraId="4A1C94DE">
      <w:pPr>
        <w:pStyle w:val="14"/>
      </w:pPr>
      <w:r>
        <w:t>生成或创建任务实例</w:t>
      </w:r>
    </w:p>
    <w:p w14:paraId="2280B276">
      <w:pPr>
        <w:pStyle w:val="14"/>
      </w:pPr>
      <w:r>
        <w:t>执行器拉取并执行</w:t>
      </w:r>
    </w:p>
    <w:p w14:paraId="04FC3B3D">
      <w:pPr>
        <w:pStyle w:val="14"/>
      </w:pPr>
      <w:r>
        <w:t>回传状态、日志和耗时</w:t>
      </w:r>
    </w:p>
    <w:p w14:paraId="54EFE017">
      <w:pPr>
        <w:pStyle w:val="14"/>
      </w:pPr>
      <w:r>
        <w:t>前端展示实例明细与统计</w:t>
      </w:r>
    </w:p>
    <w:p w14:paraId="348E75A2">
      <w:pPr>
        <w:pStyle w:val="5"/>
      </w:pPr>
      <w:r>
        <w:t>依赖接口</w:t>
      </w:r>
    </w:p>
    <w:p w14:paraId="548745AA">
      <w:r>
        <w:t>/api/task、/api/task/instance、/api/internal/*、执行器接口</w:t>
      </w:r>
    </w:p>
    <w:p w14:paraId="62C52F20">
      <w:pPr>
        <w:pStyle w:val="5"/>
      </w:pPr>
      <w:r>
        <w:t>异常处理</w:t>
      </w:r>
    </w:p>
    <w:p w14:paraId="1A9476B5">
      <w:r>
        <w:t>任务执行失败记录失败状态和日志；超时、终止、依赖未满足需清晰返回原因。</w:t>
      </w:r>
    </w:p>
    <w:p w14:paraId="3CC7247A">
      <w:pPr>
        <w:pStyle w:val="5"/>
      </w:pPr>
      <w:r>
        <w:t>特殊规则说明</w:t>
      </w:r>
    </w:p>
    <w:p w14:paraId="0B3F7D6F">
      <w:r>
        <w:t>重跑前需校验上游依赖和当前实例状态，批量重跑需逐条返回校验结果。</w:t>
      </w:r>
    </w:p>
    <w:p w14:paraId="600C3C5B">
      <w:pPr>
        <w:pStyle w:val="4"/>
      </w:pPr>
      <w:r>
        <w:t>4.5 角色管理模块</w:t>
      </w:r>
    </w:p>
    <w:p w14:paraId="17E9BFEE">
      <w:pPr>
        <w:pStyle w:val="5"/>
      </w:pPr>
      <w:r>
        <w:t>功能描述</w:t>
      </w:r>
    </w:p>
    <w:p w14:paraId="152D6F70">
      <w:r>
        <w:t>角色管理用于维护机构、用户、角色、菜单功能和按钮权限，前端权限资源来自 permissionManifest，后端按角色授权返回权限集合。</w:t>
      </w:r>
    </w:p>
    <w:p w14:paraId="64FACCDF">
      <w:pPr>
        <w:pStyle w:val="5"/>
      </w:pPr>
      <w:r>
        <w:t>处理流程</w:t>
      </w:r>
    </w:p>
    <w:p w14:paraId="2ECACD2A">
      <w:pPr>
        <w:pStyle w:val="14"/>
      </w:pPr>
      <w:r>
        <w:t>管理员维护菜单功能资源</w:t>
      </w:r>
    </w:p>
    <w:p w14:paraId="3550DE0F">
      <w:pPr>
        <w:pStyle w:val="14"/>
      </w:pPr>
      <w:r>
        <w:t>创建角色并授权菜单/按钮</w:t>
      </w:r>
    </w:p>
    <w:p w14:paraId="1E0F5193">
      <w:pPr>
        <w:pStyle w:val="14"/>
      </w:pPr>
      <w:r>
        <w:t>用户绑定角色</w:t>
      </w:r>
    </w:p>
    <w:p w14:paraId="52048E0E">
      <w:pPr>
        <w:pStyle w:val="14"/>
      </w:pPr>
      <w:r>
        <w:t>登录后加载权限并控制页面显示</w:t>
      </w:r>
    </w:p>
    <w:p w14:paraId="40073C13">
      <w:pPr>
        <w:pStyle w:val="5"/>
      </w:pPr>
      <w:r>
        <w:t>依赖接口</w:t>
      </w:r>
    </w:p>
    <w:p w14:paraId="5AD2CF4E">
      <w:r>
        <w:t>/api/roles、/api/users、/api/orgs、/api/users/permissions</w:t>
      </w:r>
    </w:p>
    <w:p w14:paraId="3097297F">
      <w:pPr>
        <w:pStyle w:val="5"/>
      </w:pPr>
      <w:r>
        <w:t>异常处理</w:t>
      </w:r>
    </w:p>
    <w:p w14:paraId="3F430389">
      <w:r>
        <w:t>删除已使用角色、机构或用户时需进行约束校验；无权限访问应返回拒绝或前端隐藏入口。</w:t>
      </w:r>
    </w:p>
    <w:p w14:paraId="0DD8AD67">
      <w:pPr>
        <w:pStyle w:val="5"/>
      </w:pPr>
      <w:r>
        <w:t>特殊规则说明</w:t>
      </w:r>
    </w:p>
    <w:p w14:paraId="624686E3">
      <w:r>
        <w:t>权限以菜单和按钮粒度控制，敏感操作需后台二次校验。</w:t>
      </w:r>
    </w:p>
    <w:p w14:paraId="09E852E0">
      <w:pPr>
        <w:pStyle w:val="4"/>
      </w:pPr>
      <w:r>
        <w:t>4.6 数据填报模块</w:t>
      </w:r>
    </w:p>
    <w:p w14:paraId="572EAB18">
      <w:pPr>
        <w:pStyle w:val="5"/>
      </w:pPr>
      <w:r>
        <w:t>功能描述</w:t>
      </w:r>
    </w:p>
    <w:p w14:paraId="457EDA31">
      <w:r>
        <w:t>本项目不直接实现传统表单填报流转，而是以监管资产、字段口径、取数逻辑、生成脚本和维护记录支撑监管数据准备与报送协同。</w:t>
      </w:r>
    </w:p>
    <w:p w14:paraId="5097A81C">
      <w:pPr>
        <w:pStyle w:val="5"/>
      </w:pPr>
      <w:r>
        <w:t>处理流程</w:t>
      </w:r>
    </w:p>
    <w:p w14:paraId="68E6CCD8">
      <w:pPr>
        <w:pStyle w:val="14"/>
      </w:pPr>
      <w:r>
        <w:t>维护监管资产和字段</w:t>
      </w:r>
    </w:p>
    <w:p w14:paraId="6F381D54">
      <w:pPr>
        <w:pStyle w:val="14"/>
      </w:pPr>
      <w:r>
        <w:t>绑定物理表字段与取数逻辑</w:t>
      </w:r>
    </w:p>
    <w:p w14:paraId="52BAA542">
      <w:pPr>
        <w:pStyle w:val="14"/>
      </w:pPr>
      <w:r>
        <w:t>生成或同步脚本</w:t>
      </w:r>
    </w:p>
    <w:p w14:paraId="08584FF6">
      <w:pPr>
        <w:pStyle w:val="14"/>
      </w:pPr>
      <w:r>
        <w:t>通过血缘和 AI 审核辅助检查影响</w:t>
      </w:r>
    </w:p>
    <w:p w14:paraId="39BCA42A">
      <w:pPr>
        <w:pStyle w:val="14"/>
      </w:pPr>
      <w:r>
        <w:t>形成维护记录和版本留痕</w:t>
      </w:r>
    </w:p>
    <w:p w14:paraId="5AD44D38">
      <w:pPr>
        <w:pStyle w:val="5"/>
      </w:pPr>
      <w:r>
        <w:t>依赖接口</w:t>
      </w:r>
    </w:p>
    <w:p w14:paraId="7C579ACD">
      <w:r>
        <w:t>/api/metadata/regulatory-assets、/api/metadata/reg-elements、/api/metadata/maintenance-records</w:t>
      </w:r>
    </w:p>
    <w:p w14:paraId="29D78C9F">
      <w:pPr>
        <w:pStyle w:val="5"/>
      </w:pPr>
      <w:r>
        <w:t>异常处理</w:t>
      </w:r>
    </w:p>
    <w:p w14:paraId="2AC0969E">
      <w:r>
        <w:t>导入字段缺失、口径冲突、物理绑定不完整时提示并拒绝发布关键变更。</w:t>
      </w:r>
    </w:p>
    <w:p w14:paraId="0630A00C">
      <w:pPr>
        <w:pStyle w:val="5"/>
      </w:pPr>
      <w:r>
        <w:t>特殊规则说明</w:t>
      </w:r>
    </w:p>
    <w:p w14:paraId="5ACF99A0">
      <w:r>
        <w:t>所有资产变更需保留维护记录，字段口径和物理绑定应可追溯。</w:t>
      </w:r>
    </w:p>
    <w:p w14:paraId="57DD46DD">
      <w:pPr>
        <w:pStyle w:val="4"/>
      </w:pPr>
      <w:r>
        <w:t>4.7 表单维护模块</w:t>
      </w:r>
    </w:p>
    <w:p w14:paraId="085305F2">
      <w:pPr>
        <w:pStyle w:val="5"/>
      </w:pPr>
      <w:r>
        <w:t>功能描述</w:t>
      </w:r>
    </w:p>
    <w:p w14:paraId="6C149657">
      <w:r>
        <w:t>表单维护对应物理模型和模型字段维护，包括数据源配置、元数据同步、DDL 导入、模型表/字段字典和目录维护。</w:t>
      </w:r>
    </w:p>
    <w:p w14:paraId="7B3C07FA">
      <w:pPr>
        <w:pStyle w:val="5"/>
      </w:pPr>
      <w:r>
        <w:t>处理流程</w:t>
      </w:r>
    </w:p>
    <w:p w14:paraId="4F05AE24">
      <w:pPr>
        <w:pStyle w:val="14"/>
      </w:pPr>
      <w:r>
        <w:t>配置数据源</w:t>
      </w:r>
    </w:p>
    <w:p w14:paraId="4CFC5720">
      <w:pPr>
        <w:pStyle w:val="14"/>
      </w:pPr>
      <w:r>
        <w:t>测试连接并同步元数据</w:t>
      </w:r>
    </w:p>
    <w:p w14:paraId="537A7F4E">
      <w:pPr>
        <w:pStyle w:val="14"/>
      </w:pPr>
      <w:r>
        <w:t>导入 DDL 或维护模型字段</w:t>
      </w:r>
    </w:p>
    <w:p w14:paraId="2DF4D153">
      <w:pPr>
        <w:pStyle w:val="14"/>
      </w:pPr>
      <w:r>
        <w:t>供监管资产与血缘解析使用</w:t>
      </w:r>
    </w:p>
    <w:p w14:paraId="2430C15E">
      <w:pPr>
        <w:pStyle w:val="5"/>
      </w:pPr>
      <w:r>
        <w:t>依赖接口</w:t>
      </w:r>
    </w:p>
    <w:p w14:paraId="255DBA89">
      <w:r>
        <w:t>/api/datasource、/api/metadata/model-table、/api/metadata/model-field</w:t>
      </w:r>
    </w:p>
    <w:p w14:paraId="3B3807C4">
      <w:pPr>
        <w:pStyle w:val="5"/>
      </w:pPr>
      <w:r>
        <w:t>异常处理</w:t>
      </w:r>
    </w:p>
    <w:p w14:paraId="568A87E0">
      <w:r>
        <w:t>数据源连接失败、DDL 解析失败、字段过长或重复时需返回明确原因。</w:t>
      </w:r>
    </w:p>
    <w:p w14:paraId="48BB3F09">
      <w:pPr>
        <w:pStyle w:val="5"/>
      </w:pPr>
      <w:r>
        <w:t>特殊规则说明</w:t>
      </w:r>
    </w:p>
    <w:p w14:paraId="29D4CBF3">
      <w:r>
        <w:t>模型数据是血缘增强的依据，修改后需刷新 metadata-pack 或重新解析相关 SQL。</w:t>
      </w:r>
    </w:p>
    <w:p w14:paraId="65A6EC77">
      <w:pPr>
        <w:pStyle w:val="4"/>
      </w:pPr>
      <w:r>
        <w:t>4.8 批量处理模块</w:t>
      </w:r>
    </w:p>
    <w:p w14:paraId="6A20DA34">
      <w:pPr>
        <w:pStyle w:val="5"/>
      </w:pPr>
      <w:r>
        <w:t>功能描述</w:t>
      </w:r>
    </w:p>
    <w:p w14:paraId="190DA901">
      <w:r>
        <w:t>批量处理模块面向监管批量任务的运行、补跑、监控和日志定位，支撑多任务、多实例和依赖链路管理。</w:t>
      </w:r>
    </w:p>
    <w:p w14:paraId="505B78D6">
      <w:pPr>
        <w:pStyle w:val="5"/>
      </w:pPr>
      <w:r>
        <w:t>处理流程</w:t>
      </w:r>
    </w:p>
    <w:p w14:paraId="176BC408">
      <w:pPr>
        <w:pStyle w:val="14"/>
      </w:pPr>
      <w:r>
        <w:t>选择任务或工作流</w:t>
      </w:r>
    </w:p>
    <w:p w14:paraId="540B60C4">
      <w:pPr>
        <w:pStyle w:val="14"/>
      </w:pPr>
      <w:r>
        <w:t>按计划或手工生成实例</w:t>
      </w:r>
    </w:p>
    <w:p w14:paraId="59E9A64C">
      <w:pPr>
        <w:pStyle w:val="14"/>
      </w:pPr>
      <w:r>
        <w:t>执行器执行并回传日志</w:t>
      </w:r>
    </w:p>
    <w:p w14:paraId="7EB108DF">
      <w:pPr>
        <w:pStyle w:val="14"/>
      </w:pPr>
      <w:r>
        <w:t>失败后支持重跑、停止、强制成功和问题登记</w:t>
      </w:r>
    </w:p>
    <w:p w14:paraId="2622B0DD">
      <w:pPr>
        <w:pStyle w:val="5"/>
      </w:pPr>
      <w:r>
        <w:t>依赖接口</w:t>
      </w:r>
    </w:p>
    <w:p w14:paraId="285BB0E5">
      <w:r>
        <w:t>/api/task/instance、/api/quartz、/api/workflow</w:t>
      </w:r>
    </w:p>
    <w:p w14:paraId="5A9281B0">
      <w:pPr>
        <w:pStyle w:val="5"/>
      </w:pPr>
      <w:r>
        <w:t>异常处理</w:t>
      </w:r>
    </w:p>
    <w:p w14:paraId="6678454E">
      <w:r>
        <w:t>实例执行失败需保留 stdout/stderr 和异常摘要，补跑时校验依赖和实例状态。</w:t>
      </w:r>
    </w:p>
    <w:p w14:paraId="3F96A252">
      <w:pPr>
        <w:pStyle w:val="5"/>
      </w:pPr>
      <w:r>
        <w:t>特殊规则说明</w:t>
      </w:r>
    </w:p>
    <w:p w14:paraId="644C1D6E">
      <w:r>
        <w:t>批量操作需对每个实例给出处理结果，避免部分成功被误判为整体成功。</w:t>
      </w:r>
    </w:p>
    <w:p w14:paraId="7326616D">
      <w:pPr>
        <w:pStyle w:val="4"/>
      </w:pPr>
      <w:r>
        <w:t>4.9 迟漏报统计模块</w:t>
      </w:r>
    </w:p>
    <w:p w14:paraId="4ECCC6DF">
      <w:pPr>
        <w:pStyle w:val="5"/>
      </w:pPr>
      <w:r>
        <w:t>功能描述</w:t>
      </w:r>
    </w:p>
    <w:p w14:paraId="2A985A4E">
      <w:r>
        <w:t>迟漏报统计在 URGS 中体现为监管日历、任务延迟、失败 TOP、运行趋势和超期提醒，用于识别监管批量链路的时效风险。</w:t>
      </w:r>
    </w:p>
    <w:p w14:paraId="30D98F8D">
      <w:pPr>
        <w:pStyle w:val="5"/>
      </w:pPr>
      <w:r>
        <w:t>处理流程</w:t>
      </w:r>
    </w:p>
    <w:p w14:paraId="36FAA3BC">
      <w:pPr>
        <w:pStyle w:val="14"/>
      </w:pPr>
      <w:r>
        <w:t>采集任务计划时间、开始时间、结束时间和状态</w:t>
      </w:r>
    </w:p>
    <w:p w14:paraId="16BBF564">
      <w:pPr>
        <w:pStyle w:val="14"/>
      </w:pPr>
      <w:r>
        <w:t>按系统/任务/日期聚合</w:t>
      </w:r>
    </w:p>
    <w:p w14:paraId="46C749BE">
      <w:pPr>
        <w:pStyle w:val="14"/>
      </w:pPr>
      <w:r>
        <w:t>工作台展示延迟和失败指标</w:t>
      </w:r>
    </w:p>
    <w:p w14:paraId="5A23E98D">
      <w:pPr>
        <w:pStyle w:val="14"/>
      </w:pPr>
      <w:r>
        <w:t>超期任务跳转实例详情处理</w:t>
      </w:r>
    </w:p>
    <w:p w14:paraId="7B88FC17">
      <w:pPr>
        <w:pStyle w:val="5"/>
      </w:pPr>
      <w:r>
        <w:t>依赖接口</w:t>
      </w:r>
    </w:p>
    <w:p w14:paraId="7227E60E">
      <w:r>
        <w:t>/api/task/instance/stats/*、/api/metrics</w:t>
      </w:r>
    </w:p>
    <w:p w14:paraId="0C95B81C">
      <w:pPr>
        <w:pStyle w:val="5"/>
      </w:pPr>
      <w:r>
        <w:t>异常处理</w:t>
      </w:r>
    </w:p>
    <w:p w14:paraId="6BE01443">
      <w:r>
        <w:t>统计接口失败时显示空态；数据时间范围异常时返回校验提示。</w:t>
      </w:r>
    </w:p>
    <w:p w14:paraId="56BEC8D0">
      <w:pPr>
        <w:pStyle w:val="5"/>
      </w:pPr>
      <w:r>
        <w:t>特殊规则说明</w:t>
      </w:r>
    </w:p>
    <w:p w14:paraId="71437503">
      <w:r>
        <w:t>统计口径以任务实例状态和计划时间为准，需和调度日志一致。</w:t>
      </w:r>
    </w:p>
    <w:p w14:paraId="2C9C6015">
      <w:pPr>
        <w:pStyle w:val="4"/>
      </w:pPr>
      <w:r>
        <w:t>4.10 制度包管理模块</w:t>
      </w:r>
    </w:p>
    <w:p w14:paraId="71635FF1">
      <w:pPr>
        <w:pStyle w:val="5"/>
      </w:pPr>
      <w:r>
        <w:t>功能描述</w:t>
      </w:r>
    </w:p>
    <w:p w14:paraId="7D6362A3">
      <w:r>
        <w:t>制度包管理在当前项目中由知识中心、公告和版本投产包共同承载，用于保存监管制度资料、版本包、投产包、发布说明和升级日志。</w:t>
      </w:r>
    </w:p>
    <w:p w14:paraId="11197D5F">
      <w:pPr>
        <w:pStyle w:val="5"/>
      </w:pPr>
      <w:r>
        <w:t>处理流程</w:t>
      </w:r>
    </w:p>
    <w:p w14:paraId="6B8725BC">
      <w:pPr>
        <w:pStyle w:val="14"/>
      </w:pPr>
      <w:r>
        <w:t>上传或维护制度/版本资料</w:t>
      </w:r>
    </w:p>
    <w:p w14:paraId="0AC6C37C">
      <w:pPr>
        <w:pStyle w:val="14"/>
      </w:pPr>
      <w:r>
        <w:t>按文件夹和标签分类</w:t>
      </w:r>
    </w:p>
    <w:p w14:paraId="63389263">
      <w:pPr>
        <w:pStyle w:val="14"/>
      </w:pPr>
      <w:r>
        <w:t>关联公告、发布台账或监管资产</w:t>
      </w:r>
    </w:p>
    <w:p w14:paraId="035471CF">
      <w:pPr>
        <w:pStyle w:val="14"/>
      </w:pPr>
      <w:r>
        <w:t>支持预览、下载、收藏和权限控制</w:t>
      </w:r>
    </w:p>
    <w:p w14:paraId="08478AA6">
      <w:pPr>
        <w:pStyle w:val="5"/>
      </w:pPr>
      <w:r>
        <w:t>依赖接口</w:t>
      </w:r>
    </w:p>
    <w:p w14:paraId="584B7B24">
      <w:r>
        <w:t>/api/wiki/documents、/api/wiki/folders、/api/wiki/tags、/api/version/deploy/packages</w:t>
      </w:r>
    </w:p>
    <w:p w14:paraId="7B293722">
      <w:pPr>
        <w:pStyle w:val="5"/>
      </w:pPr>
      <w:r>
        <w:t>异常处理</w:t>
      </w:r>
    </w:p>
    <w:p w14:paraId="30832204">
      <w:r>
        <w:t>文件上传失败、预览不支持或权限不足时给出明确提示；下载需校验权限。</w:t>
      </w:r>
    </w:p>
    <w:p w14:paraId="39338121">
      <w:pPr>
        <w:pStyle w:val="5"/>
      </w:pPr>
      <w:r>
        <w:t>特殊规则说明</w:t>
      </w:r>
    </w:p>
    <w:p w14:paraId="499E1817">
      <w:r>
        <w:t>制度资料和投产包需要保留版本、上传人、时间和关联业务信息。</w:t>
      </w:r>
    </w:p>
    <w:p w14:paraId="68DD86CD">
      <w:pPr>
        <w:pStyle w:val="4"/>
      </w:pPr>
      <w:r>
        <w:t>4.11 多法人设计</w:t>
      </w:r>
    </w:p>
    <w:p w14:paraId="47AC7CCE">
      <w:r>
        <w:t>系统通过机构管理、用户角色授权和业务数据机构字段实现多机构/多法人扩展。机构维护中需标识组织层级、法人属性和上级关系；业务数据如监管资产、任务、问题、公告、权限资源可按机构或角色范围进行访问控制。当前设计保留多法人扩展能力，具体数据隔离强度需结合行内组织权限规则在详细设计中细化。</w:t>
      </w:r>
    </w:p>
    <w:p w14:paraId="2F36D18D">
      <w:pPr>
        <w:pStyle w:val="4"/>
      </w:pPr>
      <w:r>
        <w:t>4.12 高并发设计</w:t>
      </w:r>
    </w:p>
    <w:p w14:paraId="1C1E18A6">
      <w:r>
        <w:t>平台采用前后端分离和服务分层扩展思路。Nginx 支持 API 多节点 upstream 与粘性转发；任务执行采用独立执行器，避免长耗时任务占用 API 线程；Quartz 与任务实例表管理调度状态；RAG、血缘解析等重计算能力独立部署；数据库连接池、分页查询、异步刷新和日志流式查看用于降低高并发访问压力。</w:t>
      </w:r>
    </w:p>
    <w:p w14:paraId="7651561D">
      <w:pPr>
        <w:pStyle w:val="3"/>
      </w:pPr>
      <w:r>
        <w:t>5 用户界面整体设计</w:t>
      </w:r>
    </w:p>
    <w:p w14:paraId="564126DC">
      <w:pPr>
        <w:pStyle w:val="4"/>
      </w:pPr>
      <w:r>
        <w:t>5.1 基本原则</w:t>
      </w:r>
    </w:p>
    <w:p w14:paraId="6932B4BA">
      <w:pPr>
        <w:pStyle w:val="16"/>
      </w:pPr>
      <w:r>
        <w:t>易用性：导航以工作台、Ark、公告、版本、数据、运维、知识中心、系统管理为主线，常用入口清晰可达。</w:t>
      </w:r>
    </w:p>
    <w:p w14:paraId="65D26D57">
      <w:pPr>
        <w:pStyle w:val="16"/>
      </w:pPr>
      <w:r>
        <w:t>安全性：根据菜单和按钮权限控制可见性，敏感操作需要后台权限校验。</w:t>
      </w:r>
    </w:p>
    <w:p w14:paraId="4DC3594A">
      <w:pPr>
        <w:pStyle w:val="16"/>
      </w:pPr>
      <w:r>
        <w:t>一致性：React 组件、Ant Design、TailwindCSS 和通用状态组件保持统一交互风格。</w:t>
      </w:r>
    </w:p>
    <w:p w14:paraId="4C9EA7F6">
      <w:pPr>
        <w:pStyle w:val="16"/>
      </w:pPr>
      <w:r>
        <w:t>高效性：看板卡片异步加载，列表支持筛选、分页、导入导出和快捷操作。</w:t>
      </w:r>
    </w:p>
    <w:p w14:paraId="7EE5C2CF">
      <w:pPr>
        <w:pStyle w:val="16"/>
      </w:pPr>
      <w:r>
        <w:t>合规性：公告、版本、资产、问题和发布记录保留操作留痕。</w:t>
      </w:r>
    </w:p>
    <w:p w14:paraId="1B53A934">
      <w:pPr>
        <w:pStyle w:val="4"/>
      </w:pPr>
      <w:r>
        <w:t>5.2 设计概述</w:t>
      </w:r>
    </w:p>
    <w:p w14:paraId="64477DB3">
      <w:r>
        <w:t>前端采用 React 函数式组件和 Hash 路由式导航，用户登录后进入统一门户。布局支持侧边栏和顶部导航偏好，所有模块按权限展示。页面遵循“容器负责数据与状态、视图组件负责展示、Hook 封装复用交互”的模式。</w:t>
      </w:r>
    </w:p>
    <w:p w14:paraId="26E5D95B">
      <w:pPr>
        <w:pStyle w:val="4"/>
      </w:pPr>
      <w:r>
        <w:t>5.3 首页</w:t>
      </w:r>
    </w:p>
    <w:p w14:paraId="32F3F8EB">
      <w:r>
        <w:t>首页提供业务、研发、运维多视角仪表盘，包括系统快捷入口、统计趋势、公告、批量监控、流水线状态、API 状态、错误日志和监管日历。</w:t>
      </w:r>
    </w:p>
    <w:p w14:paraId="03C67176">
      <w:pPr>
        <w:pStyle w:val="4"/>
      </w:pPr>
      <w:r>
        <w:t>5.4 数据填报</w:t>
      </w:r>
    </w:p>
    <w:p w14:paraId="25D7CBC6">
      <w:pPr>
        <w:pStyle w:val="5"/>
      </w:pPr>
      <w:r>
        <w:t>5.4.1 编辑报表</w:t>
      </w:r>
    </w:p>
    <w:p w14:paraId="0477CE0F">
      <w:r>
        <w:t>当前项目对应监管资产编辑能力：支持新增、编辑、删除、导入、导出监管资产，维护字段、取数逻辑和物理字段绑定，生成脚本并记录维护历史。</w:t>
      </w:r>
    </w:p>
    <w:p w14:paraId="4E269364">
      <w:pPr>
        <w:pStyle w:val="4"/>
      </w:pPr>
      <w:r>
        <w:t>5.5 表单维护</w:t>
      </w:r>
    </w:p>
    <w:p w14:paraId="7BAAE3FF">
      <w:pPr>
        <w:pStyle w:val="5"/>
      </w:pPr>
      <w:r>
        <w:t>5.5.1 修改版本</w:t>
      </w:r>
    </w:p>
    <w:p w14:paraId="2BA78EF5">
      <w:r>
        <w:t>当前项目对应模型与资产版本化维护能力：通过维护记录、发布台账、投产包和血缘影响分析记录每次字段、口径、脚本、制度资料和版本包变化。</w:t>
      </w:r>
    </w:p>
    <w:p w14:paraId="69B825BA">
      <w:pPr>
        <w:pStyle w:val="3"/>
      </w:pPr>
      <w:r>
        <w:t>6 测试关键点说明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919AA5A">
        <w:trPr>
          <w:jc w:val="center"/>
        </w:trPr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A3D1">
            <w:r>
              <w:rPr>
                <w:b/>
              </w:rPr>
              <w:t>测试类型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341D">
            <w:r>
              <w:rPr>
                <w:b/>
              </w:rPr>
              <w:t>关键点</w:t>
            </w:r>
          </w:p>
        </w:tc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E0F6">
            <w:r>
              <w:rPr>
                <w:b/>
              </w:rPr>
              <w:t>验收关注</w:t>
            </w:r>
          </w:p>
        </w:tc>
      </w:tr>
      <w:tr w14:paraId="6C8A52DE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A739">
            <w:r>
              <w:t>功能测试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BA66">
            <w:r>
              <w:t>登录、权限、工作台、调度、监管资产、知识中心、版本管理、Ark、运维问题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68B5">
            <w:r>
              <w:t>功能入口可达、权限正确、数据保存和查询准确</w:t>
            </w:r>
          </w:p>
        </w:tc>
      </w:tr>
      <w:tr w14:paraId="43D213A1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BC41">
            <w:r>
              <w:t>调度测试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E1B6">
            <w:r>
              <w:t>Cron、手工触发、依赖校验、实例重跑、停止、日志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EE0C">
            <w:r>
              <w:t>实例状态流转正确，失败原因可追溯</w:t>
            </w:r>
          </w:p>
        </w:tc>
      </w:tr>
      <w:tr w14:paraId="416B1746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2003">
            <w:r>
              <w:t>血缘测试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3D90">
            <w:r>
              <w:t>Hive/MySQL/Oracle 等 SQL 解析、metadata-pack 增强、Neo4j 图谱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4DE5">
            <w:r>
              <w:t>表级/字段级血缘准确，影响分析结果可解释</w:t>
            </w:r>
          </w:p>
        </w:tc>
      </w:tr>
      <w:tr w14:paraId="426B9943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D899">
            <w:r>
              <w:t>AI/RAG 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2F5A">
            <w:r>
              <w:t>文档入库、检索、引用、流式回答、权限和脱敏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D7FD">
            <w:r>
              <w:t>回答有来源，敏感信息不过度暴露</w:t>
            </w:r>
          </w:p>
        </w:tc>
      </w:tr>
      <w:tr w14:paraId="4A85B169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3E51">
            <w:r>
              <w:t>版本发布测试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8452">
            <w:r>
              <w:t>仓库、流水线、投产包、AI 智查、审批、回滚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17B5">
            <w:r>
              <w:t>发布链路闭环、审计记录完整</w:t>
            </w:r>
          </w:p>
        </w:tc>
      </w:tr>
      <w:tr w14:paraId="1C04E10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630A">
            <w:r>
              <w:t>安全测试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DFC1">
            <w:r>
              <w:t>认证、角色授权、文件下载、接口越权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4B79">
            <w:r>
              <w:t>无权限不能访问或操作敏感资源</w:t>
            </w:r>
          </w:p>
        </w:tc>
      </w:tr>
      <w:tr w14:paraId="612DEA61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41A9">
            <w:r>
              <w:t>性能测试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6AE9">
            <w:r>
              <w:t>100 并发查询、任务列表、首页指标、日志查看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D55E">
            <w:r>
              <w:t>响应时间和资源占用满足设计指标</w:t>
            </w:r>
          </w:p>
        </w:tc>
      </w:tr>
    </w:tbl>
    <w:p w14:paraId="0D3DFD35"/>
    <w:p w14:paraId="388ED5BE">
      <w:pPr>
        <w:pStyle w:val="3"/>
      </w:pPr>
      <w:r>
        <w:t>7 系统出错及维护处理设计</w:t>
      </w:r>
    </w:p>
    <w:p w14:paraId="2873F993">
      <w:pPr>
        <w:pStyle w:val="4"/>
      </w:pPr>
      <w:r>
        <w:t>7.1 出错信息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A3482AB">
        <w:trPr>
          <w:jc w:val="center"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F8A4">
            <w:r>
              <w:rPr>
                <w:b/>
              </w:rPr>
              <w:t>序号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A2D1">
            <w:r>
              <w:rPr>
                <w:b/>
              </w:rPr>
              <w:t>分类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ACAE">
            <w:r>
              <w:rPr>
                <w:b/>
              </w:rPr>
              <w:t>错误编码/状态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5FCA">
            <w:r>
              <w:rPr>
                <w:b/>
              </w:rPr>
              <w:t>信息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44A3">
            <w:r>
              <w:rPr>
                <w:b/>
              </w:rPr>
              <w:t>备注</w:t>
            </w:r>
          </w:p>
        </w:tc>
      </w:tr>
      <w:tr w14:paraId="306DAA8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6D91">
            <w:r>
              <w:t>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3C5E">
            <w:r>
              <w:t>认证错误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ABB3">
            <w:r>
              <w:t>401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D284">
            <w:r>
              <w:t>登录失效或未认证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EA50">
            <w:r>
              <w:t>前端清理登录态并返回登录页</w:t>
            </w:r>
          </w:p>
        </w:tc>
      </w:tr>
      <w:tr w14:paraId="32A54BC3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8BF1">
            <w:r>
              <w:t>2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537E">
            <w:r>
              <w:t>权限错误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844D">
            <w:r>
              <w:t>403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3089">
            <w:r>
              <w:t>没有相关权限，拒绝访问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FAC7">
            <w:r>
              <w:t>隐藏入口并提示无权限</w:t>
            </w:r>
          </w:p>
        </w:tc>
      </w:tr>
      <w:tr w14:paraId="08309823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7B90">
            <w:r>
              <w:t>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6D69">
            <w:r>
              <w:t>资源不存在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8DEA">
            <w:r>
              <w:t>404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E8E7">
            <w:r>
              <w:t>请求资源不存在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6086">
            <w:r>
              <w:t>检查 URL 或数据是否已删除</w:t>
            </w:r>
          </w:p>
        </w:tc>
      </w:tr>
      <w:tr w14:paraId="09B0D321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992A">
            <w:r>
              <w:t>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C6C8">
            <w:r>
              <w:t>参数错误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A26D">
            <w:r>
              <w:t>400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A679">
            <w:r>
              <w:t>请求参数不合法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8131">
            <w:r>
              <w:t>用于表单校验、Cron/DDL/数据源参数错误</w:t>
            </w:r>
          </w:p>
        </w:tc>
      </w:tr>
      <w:tr w14:paraId="641A211C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3430">
            <w:r>
              <w:t>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9902">
            <w:r>
              <w:t>服务异常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CA71">
            <w:r>
              <w:t>500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A5B4">
            <w:r>
              <w:t>系统处理异常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8B71">
            <w:r>
              <w:t>记录后端日志和请求上下文</w:t>
            </w:r>
          </w:p>
        </w:tc>
      </w:tr>
      <w:tr w14:paraId="0DDE17B8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E669">
            <w:r>
              <w:t>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6E27">
            <w:r>
              <w:t>任务异常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E0BA">
            <w:r>
              <w:t>FAILED/TIMEOUT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6376">
            <w:r>
              <w:t>任务执行失败或超时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6F1E">
            <w:r>
              <w:t>保存实例日志和执行器返回信息</w:t>
            </w:r>
          </w:p>
        </w:tc>
      </w:tr>
    </w:tbl>
    <w:p w14:paraId="3F95E829"/>
    <w:p w14:paraId="6E4900B1">
      <w:pPr>
        <w:pStyle w:val="4"/>
      </w:pPr>
      <w:r>
        <w:t>7.2 维护处理机制</w:t>
      </w:r>
    </w:p>
    <w:p w14:paraId="147C8E77">
      <w:r>
        <w:t>平台通过接口异常提示、后端日志、执行器日志、Nginx access/error 日志、任务实例日志、Docker 日志和生产问题登记形成问题闭环。问题解决后可转知识库，由知识中心沉淀现象、原因、解决方案。</w:t>
      </w:r>
    </w:p>
    <w:p w14:paraId="2AA663E5">
      <w:pPr>
        <w:pStyle w:val="4"/>
      </w:pPr>
      <w:r>
        <w:t>7.3 维护功能设计</w:t>
      </w:r>
    </w:p>
    <w:p w14:paraId="0822468D">
      <w:pPr>
        <w:pStyle w:val="5"/>
      </w:pPr>
      <w:r>
        <w:t>7.3.1 日志跟踪分析</w:t>
      </w:r>
    </w:p>
    <w:p w14:paraId="2A9E995C">
      <w:r>
        <w:t>日志包括 logs/api.log、logs/executor.log、logs/rag.log、logs/nginx/access.log、logs/nginx/error.log、任务实例日志、Docker 容器日志和血缘引擎日志。前端提供任务日志、Docker 日志和问题附件下载入口。</w:t>
      </w:r>
    </w:p>
    <w:p w14:paraId="07B6E1BD">
      <w:pPr>
        <w:pStyle w:val="5"/>
      </w:pPr>
      <w:r>
        <w:t>7.3.2 日志清理</w:t>
      </w:r>
    </w:p>
    <w:p w14:paraId="7B5586F1">
      <w:r>
        <w:t>日志清理应按运行环境分级配置。短期运行日志可按天滚动和压缩；任务实例日志、发布审计、问题处理和血缘审核记录按合规保留周期保存，清理前需确认不影响审计追溯。</w:t>
      </w:r>
    </w:p>
    <w:p w14:paraId="41A30FC8">
      <w:pPr>
        <w:pStyle w:val="5"/>
      </w:pPr>
      <w:r>
        <w:t>7.3.3 系统启停</w:t>
      </w:r>
    </w:p>
    <w:p w14:paraId="1ADD6A69">
      <w:r>
        <w:t>非 Docker 部署通过固定运行目录 /home/urgs/urgs-app 下的 bin/deploy.sh 进行启停、重启、状态查看和 Nginx 配置渲染。常用命令包括 bin/deploy.sh status、restart、restart api、restart executor、restart rag、stop。</w:t>
      </w:r>
    </w:p>
    <w:p w14:paraId="1E439E70">
      <w:pPr>
        <w:pStyle w:val="3"/>
      </w:pPr>
      <w:r>
        <w:t>8 系统性能设计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15B2C9E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25B6">
            <w:r>
              <w:rPr>
                <w:b/>
              </w:rPr>
              <w:t>指标项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1A03">
            <w:r>
              <w:rPr>
                <w:b/>
              </w:rPr>
              <w:t>指标值</w:t>
            </w:r>
          </w:p>
        </w:tc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5088">
            <w:r>
              <w:rPr>
                <w:b/>
              </w:rPr>
              <w:t>备注</w:t>
            </w:r>
          </w:p>
        </w:tc>
      </w:tr>
      <w:tr w14:paraId="1849FB8B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D80C">
            <w:r>
              <w:t>查询类操作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8DCB">
            <w:r>
              <w:t>100 并发下平均响应时间 &lt;= 2 秒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9C0F">
            <w:r>
              <w:t>首页、列表、权限资源、版本/任务/资产查询</w:t>
            </w:r>
          </w:p>
        </w:tc>
      </w:tr>
      <w:tr w14:paraId="267B50FB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729A">
            <w:r>
              <w:t>写入类操作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23E3">
            <w:r>
              <w:t>100 并发下平均响应时间 &lt;= 3 秒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5CDD">
            <w:r>
              <w:t>新增、编辑、审批、问题登记等</w:t>
            </w:r>
          </w:p>
        </w:tc>
      </w:tr>
      <w:tr w14:paraId="5A863C8C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89BC">
            <w:r>
              <w:t>任务调度延迟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BFA7">
            <w:r>
              <w:t>实例就绪到执行器拉取为秒级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A5EA">
            <w:r>
              <w:t>受执行器并发和数据库负载影响</w:t>
            </w:r>
          </w:p>
        </w:tc>
      </w:tr>
      <w:tr w14:paraId="196F8BDA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9879">
            <w:r>
              <w:t>文件上传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0737">
            <w:r>
              <w:t>单文件最大 2048MB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EE67">
            <w:r>
              <w:t>来自 application.yml multipart 配置</w:t>
            </w:r>
          </w:p>
        </w:tc>
      </w:tr>
      <w:tr w14:paraId="792D9DA6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6751">
            <w:r>
              <w:t>血缘解析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669C">
            <w:r>
              <w:t>批量解析支持多进程并行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9B6D">
            <w:r>
              <w:t>复杂 SQL 耗时随脚本规模变化</w:t>
            </w:r>
          </w:p>
        </w:tc>
      </w:tr>
      <w:tr w14:paraId="509144C5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88C0">
            <w:r>
              <w:t>可用时间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F416">
            <w:r>
              <w:t>7*24 小时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A009">
            <w:r>
              <w:t>按行内运维窗口和变更窗口执行</w:t>
            </w:r>
          </w:p>
        </w:tc>
      </w:tr>
    </w:tbl>
    <w:p w14:paraId="1138231F"/>
    <w:p w14:paraId="3AB82BD8">
      <w:r>
        <w:t>性能压测应在 CPU、内存占用率不超过 85% 的前提下进行，并采用接近生产的任务数量、知识文档数量、血缘图谱规模和并发用户量。</w:t>
      </w:r>
    </w:p>
    <w:p w14:paraId="35A4C472">
      <w:pPr>
        <w:pStyle w:val="3"/>
      </w:pPr>
      <w:r>
        <w:t>9 系统容量设计</w:t>
      </w:r>
    </w:p>
    <w:p w14:paraId="46D8713D">
      <w:pPr>
        <w:pStyle w:val="4"/>
      </w:pPr>
      <w:r>
        <w:t>9.1 数据量分析</w:t>
      </w:r>
    </w:p>
    <w:p w14:paraId="66DEEB63">
      <w:r>
        <w:t>容量重点关注五类数据：MySQL 业务数据、任务实例与日志、知识文档和向量索引、Neo4j 血缘图谱、投产包和附件。初始部署建议为 MySQL 1TB+、DATA_ROOT 1TB+、Neo4j/Redis 500GB+，并按季度根据任务实例日增量、知识库新增文档、SQL 解析规模和投产包留存数量复核扩容。</w:t>
      </w:r>
    </w:p>
    <w:p w14:paraId="14059B44">
      <w:pPr>
        <w:pStyle w:val="3"/>
      </w:pPr>
      <w:r>
        <w:t>10 系统高可用及容灾设计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3B374CB3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238E">
            <w:r>
              <w:rPr>
                <w:b/>
              </w:rPr>
              <w:t>系统名称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33E2">
            <w:r>
              <w:rPr>
                <w:b/>
              </w:rPr>
              <w:t>系统重要等级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3EC5">
            <w:r>
              <w:rPr>
                <w:b/>
              </w:rPr>
              <w:t>容灾等级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6759">
            <w:r>
              <w:rPr>
                <w:b/>
              </w:rPr>
              <w:t>RTO（小时）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735A">
            <w:r>
              <w:rPr>
                <w:b/>
              </w:rPr>
              <w:t>RPO（分钟）</w:t>
            </w:r>
          </w:p>
        </w:tc>
        <w:tc>
          <w:tcPr>
            <w:tcW w:w="8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1969">
            <w:r>
              <w:rPr>
                <w:b/>
              </w:rPr>
              <w:t>同城</w:t>
            </w:r>
          </w:p>
        </w:tc>
        <w:tc>
          <w:tcPr>
            <w:tcW w:w="8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E8E9">
            <w:r>
              <w:rPr>
                <w:b/>
              </w:rPr>
              <w:t>异地</w:t>
            </w:r>
          </w:p>
        </w:tc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E931">
            <w:r>
              <w:rPr>
                <w:b/>
              </w:rPr>
              <w:t>应用双活</w:t>
            </w:r>
          </w:p>
        </w:tc>
      </w:tr>
      <w:tr w14:paraId="15C0AFA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7310">
            <w:r>
              <w:t>统一监管报送平台 URGS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255A">
            <w:r>
              <w:t>C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FFFE">
            <w:r>
              <w:t>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370B">
            <w:r>
              <w:t>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3EE0">
            <w:r>
              <w:t>60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5C8B">
            <w:r>
              <w:t>是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AA7D">
            <w:r>
              <w:t>可选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1C94">
            <w:r>
              <w:t>API 可多节点，其他组件按部署资源扩展</w:t>
            </w:r>
          </w:p>
        </w:tc>
      </w:tr>
    </w:tbl>
    <w:p w14:paraId="4977983D"/>
    <w:p w14:paraId="3CB9FAB5">
      <w:r>
        <w:t>高可用设计包括 API 多节点、Nginx 负载均衡、数据库主备/集群、文件目录备份、Neo4j 备份、Redis 持久化、执行器横向扩展和部署脚本备份回滚。RAG 与血缘引擎可按资源压力独立扩展。</w:t>
      </w:r>
    </w:p>
    <w:p w14:paraId="500EF783">
      <w:pPr>
        <w:pStyle w:val="3"/>
      </w:pPr>
      <w:r>
        <w:t>11 系统安全设计</w:t>
      </w:r>
    </w:p>
    <w:p w14:paraId="42B31AE2">
      <w:pPr>
        <w:pStyle w:val="4"/>
      </w:pPr>
      <w:r>
        <w:t>11.1 用户密码设计</w:t>
      </w:r>
    </w:p>
    <w:p w14:paraId="739CFF80">
      <w:r>
        <w:t>后端提供 BCryptPasswordEncoder，对用户密码进行哈希存储。系统支持登录、修改密码、重置密码和用户资料维护。密码复杂度、有效期、锁定策略等需结合行内统一安全策略在详细设计或配置中落地。</w:t>
      </w:r>
    </w:p>
    <w:p w14:paraId="617E0F3A">
      <w:pPr>
        <w:pStyle w:val="4"/>
      </w:pPr>
      <w:r>
        <w:t>11.2 系统认证设计</w:t>
      </w:r>
    </w:p>
    <w:p w14:paraId="330B4139">
      <w:r>
        <w:t>系统支持本地登录 token 与入站 RSA SSO。前端保存 auth_token 并在请求头携带 Authorization: Bearer token，同时携带 X-User-Id。SSO 登录通过 sso_login_token 获取用户 profile 后建立本地登录态。生产环境需妥善保管 URGS_INBOUND_SSO_RSA_PRIVATE_KEY。</w:t>
      </w:r>
    </w:p>
    <w:p w14:paraId="7DD3FDA2">
      <w:pPr>
        <w:pStyle w:val="4"/>
      </w:pPr>
      <w:r>
        <w:t>11.3 系统权限设计</w:t>
      </w:r>
    </w:p>
    <w:p w14:paraId="2BB71287">
      <w:r>
        <w:t>权限采用角色、菜单、按钮和资源编码控制。前端 permissionManifest 是菜单和按钮资源清单，角色授权后通过 /api/users/permissions 返回给前端；后端敏感接口需结合当前用户、角色和业务数据范围做权限校验。</w:t>
      </w:r>
    </w:p>
    <w:p w14:paraId="21DC001E">
      <w:pPr>
        <w:pStyle w:val="4"/>
      </w:pPr>
      <w:r>
        <w:t>11.4 数据安全设计</w:t>
      </w:r>
    </w:p>
    <w:p w14:paraId="6E90DA90">
      <w:pPr>
        <w:pStyle w:val="5"/>
      </w:pPr>
      <w:r>
        <w:t>11.4.1数据传输安全</w:t>
      </w:r>
    </w:p>
    <w:p w14:paraId="03EA776C">
      <w:r>
        <w:t>浏览器访问建议经 HTTPS 和行内负载均衡接入；Nginx 对 API、RAG、WebSocket 进行反向代理；内部数据库、Neo4j、Redis 不暴露公网。外部 LLM API 调用需通过受控网络和密钥配置。</w:t>
      </w:r>
    </w:p>
    <w:p w14:paraId="3529B139">
      <w:pPr>
        <w:pStyle w:val="5"/>
      </w:pPr>
      <w:r>
        <w:t>11.4.2数据存储安全</w:t>
      </w:r>
    </w:p>
    <w:p w14:paraId="461A4718">
      <w:r>
        <w:t>用户密码采用 BCrypt 哈希；数据库账号禁止使用 DBA 权限账号；业务文件、附件、RAG 文档、投产包和向量目录应部署在受控 DATA_ROOT 并纳入权限和备份管理；敏感字段和报送关键数据按行内脱敏、加密和审计要求处理。</w:t>
      </w:r>
    </w:p>
    <w:p w14:paraId="6C2C43EA">
      <w:pPr>
        <w:pStyle w:val="4"/>
      </w:pPr>
      <w:r>
        <w:t>11.5 访问控制设计</w:t>
      </w:r>
    </w:p>
    <w:p w14:paraId="7A5C70C4">
      <w:r>
        <w:t>平台访问控制包括登录态、角色权限、菜单按钮权限、机构/法人数据范围、文件下载权限和敏感操作审批。前端隐藏无权限入口，后端需拒绝越权请求。</w:t>
      </w:r>
    </w:p>
    <w:p w14:paraId="62372043">
      <w:pPr>
        <w:pStyle w:val="4"/>
      </w:pPr>
      <w:r>
        <w:t>11.6 文件安全设计</w:t>
      </w:r>
    </w:p>
    <w:p w14:paraId="1FC749AF">
      <w:r>
        <w:t>文件上传最大 2048MB，上传路径包括 URGS_PROFILE、IM_UPLOAD_PATH、RAG_DOC_STORE_PATH、ISSUE_ATTACHMENT_PATH 等。上传文件需限制访问路径、校验权限、保留上传人和时间，并对可预览类型做安全处理。</w:t>
      </w:r>
    </w:p>
    <w:p w14:paraId="4AC3DF5C">
      <w:pPr>
        <w:pStyle w:val="4"/>
      </w:pPr>
      <w:r>
        <w:t>11.7 安全审计设计</w:t>
      </w:r>
    </w:p>
    <w:p w14:paraId="5192346A">
      <w:r>
        <w:t>发布台账、审批、部署、AI 智查、任务实例、问题登记、资产维护、知识文档和公告发布均需保留操作人、时间、操作内容和结果。重要安全事件应纳入运维审计。</w:t>
      </w:r>
    </w:p>
    <w:p w14:paraId="2C444FC9">
      <w:pPr>
        <w:pStyle w:val="4"/>
      </w:pPr>
      <w:r>
        <w:t>11.8 互联网渠道类系统设计</w:t>
      </w:r>
    </w:p>
    <w:p w14:paraId="3A049CD0">
      <w:r>
        <w:t>本系统为内网 Web 管理平台，不涉及 App、微信公众号、微信小程序等互联网渠道。</w:t>
      </w:r>
    </w:p>
    <w:p w14:paraId="0574384F">
      <w:pPr>
        <w:pStyle w:val="3"/>
      </w:pPr>
      <w:r>
        <w:t>12 接口设计</w:t>
      </w:r>
    </w:p>
    <w:p w14:paraId="12215C80">
      <w:pPr>
        <w:pStyle w:val="4"/>
      </w:pPr>
      <w:r>
        <w:t>12.1 接口清单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10FF696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21F8">
            <w:r>
              <w:rPr>
                <w:b/>
              </w:rPr>
              <w:t>接口类别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0EF0">
            <w:r>
              <w:rPr>
                <w:b/>
              </w:rPr>
              <w:t>主要 URL</w:t>
            </w:r>
          </w:p>
        </w:tc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DF46">
            <w:r>
              <w:rPr>
                <w:b/>
              </w:rPr>
              <w:t>说明</w:t>
            </w:r>
          </w:p>
        </w:tc>
      </w:tr>
      <w:tr w14:paraId="0BE114A8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EA65">
            <w:r>
              <w:t>认证与用户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09C7">
            <w:r>
              <w:t>/api/auth/*、/api/users/*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E9AE">
            <w:r>
              <w:t>登录、SSO、用户、权限、修改密码</w:t>
            </w:r>
          </w:p>
        </w:tc>
      </w:tr>
      <w:tr w14:paraId="6440BF4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08C7">
            <w:r>
              <w:t>机构角色权限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3237">
            <w:r>
              <w:t>/api/orgs、/api/roles、/api/users/permissions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02CB">
            <w:r>
              <w:t>机构、角色、菜单按钮授权</w:t>
            </w:r>
          </w:p>
        </w:tc>
      </w:tr>
      <w:tr w14:paraId="403C6962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18B2">
            <w:r>
              <w:t>工作台与指标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D2A2">
            <w:r>
              <w:t>/api/metrics、/api/task/instance/stats/*、/api/version/stats/*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DF27">
            <w:r>
              <w:t>首页统计、任务趋势、发布统计</w:t>
            </w:r>
          </w:p>
        </w:tc>
      </w:tr>
      <w:tr w14:paraId="74BBEB1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8BE0">
            <w:r>
              <w:t>调度与任务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6BCE">
            <w:r>
              <w:t>/api/quartz、/api/task、/api/task/instance、/api/workflow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CE3C">
            <w:r>
              <w:t>任务定义、实例、工作流、重跑、日志</w:t>
            </w:r>
          </w:p>
        </w:tc>
      </w:tr>
      <w:tr w14:paraId="1FF08EB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892F">
            <w:r>
              <w:t>数据源与元数据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A4C1">
            <w:r>
              <w:t>/api/datasource、/api/metadata/model-table、/api/metadata/model-field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5105">
            <w:r>
              <w:t>数据源、物理模型、字段字典、DDL 导入</w:t>
            </w:r>
          </w:p>
        </w:tc>
      </w:tr>
      <w:tr w14:paraId="5494C45B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B4FB">
            <w:r>
              <w:t>监管资产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6D21">
            <w:r>
              <w:t>/api/metadata/regulatory-assets、/api/metadata/reg-elements、/api/metadata/maintenance-records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B072">
            <w:r>
              <w:t>资产、字段、维护记录、代码值域</w:t>
            </w:r>
          </w:p>
        </w:tc>
      </w:tr>
      <w:tr w14:paraId="08188A3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625B">
            <w:r>
              <w:t>血缘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64E7">
            <w:r>
              <w:t>/api/metadata/lineage、/api/metadata/lineage-engine、/api/metadata/lineage-review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3492">
            <w:r>
              <w:t>血缘查询、引擎启停、AI 审核</w:t>
            </w:r>
          </w:p>
        </w:tc>
      </w:tr>
      <w:tr w14:paraId="7F0BB328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EDE8">
            <w:r>
              <w:t>AI/RAG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F231">
            <w:r>
              <w:t>/api/ai/*、/api/rag/*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BDCE">
            <w:r>
              <w:t>AI API 配置、助手、知识库、会话、RAG 检索</w:t>
            </w:r>
          </w:p>
        </w:tc>
      </w:tr>
      <w:tr w14:paraId="45059306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5432">
            <w:r>
              <w:t>公告与知识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A861">
            <w:r>
              <w:t>/api/announcement、/api/wiki/documents、/api/wiki/folders、/api/wiki/tags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EB21">
            <w:r>
              <w:t>公告、文档、文件夹、标签</w:t>
            </w:r>
          </w:p>
        </w:tc>
      </w:tr>
      <w:tr w14:paraId="2030A2F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951D">
            <w:r>
              <w:t>版本发布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3B22">
            <w:r>
              <w:t>/api/version/*、/api/webhook/*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A15F">
            <w:r>
              <w:t>系统库、仓库、PR、流水线、部署、投产包、发布台账、AI 智查</w:t>
            </w:r>
          </w:p>
        </w:tc>
      </w:tr>
      <w:tr w14:paraId="38BD45E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6E4A">
            <w:r>
              <w:t>运维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0882">
            <w:r>
              <w:t>/api/issue、/api/ops/docker、/api/ops/infrastructure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6B3A">
            <w:r>
              <w:t>生产问题、Docker 日志、基础设施资产</w:t>
            </w:r>
          </w:p>
        </w:tc>
      </w:tr>
    </w:tbl>
    <w:p w14:paraId="15313A5D"/>
    <w:p w14:paraId="123495AC">
      <w:pPr>
        <w:pStyle w:val="4"/>
      </w:pPr>
      <w:r>
        <w:t>12.2 接口安全设计</w:t>
      </w:r>
    </w:p>
    <w:p w14:paraId="249786BD">
      <w:r>
        <w:t>接口通过 Authorization token、X-User-Id、角色权限、业务数据范围和 Nginx 内网代理共同控制。文件下载、部署、回滚、任务强制成功、AI 配置、数据源配置等敏感接口需重点校验权限并记录审计。</w:t>
      </w:r>
    </w:p>
    <w:p w14:paraId="1D04AAB7">
      <w:pPr>
        <w:pStyle w:val="4"/>
      </w:pPr>
      <w:r>
        <w:t>12.3 全局流水号设计</w:t>
      </w:r>
    </w:p>
    <w:p w14:paraId="4BF330F7">
      <w:r>
        <w:t>建议在 API 网关或后端过滤器层生成请求流水号并写入日志 MDC，贯穿 Nginx、API、执行器、RAG 和血缘引擎调用。当前代码未统一固化全局流水号字段，详细设计中需补充 traceId/requestId 的生成、透传和日志格式要求。</w:t>
      </w:r>
    </w:p>
    <w:p w14:paraId="152DD81A">
      <w:pPr>
        <w:pStyle w:val="3"/>
      </w:pPr>
      <w:r>
        <w:t>13 数据库设计</w:t>
      </w:r>
    </w:p>
    <w:p w14:paraId="7704C185">
      <w:r>
        <w:t>数据库采用 MySQL，表结构通过 Flyway 迁移脚本管理，当前迁移脚本已至 V76。核心域包括用户机构权限、数据源、元数据模型、监管资产、代码目录、维护记录、任务调度、Quartz 任务、工作流、AI 配置、知识库、公告、版本发布、投产包、运维问题、基础设施、血缘审核和工作市场等。实体字段变更必须同步创建 Flyway 迁移脚本，确保环境可重复升级。</w:t>
      </w:r>
    </w:p>
    <w:p w14:paraId="0F4C15E1">
      <w:pPr>
        <w:pStyle w:val="3"/>
      </w:pPr>
      <w:r>
        <w:t>14 日志设计</w:t>
      </w:r>
    </w:p>
    <w:p w14:paraId="0C022288">
      <w:r>
        <w:t>日志分为应用日志、执行器日志、RAG 日志、Nginx 日志、任务实例日志、Docker 日志、血缘引擎日志和业务审计记录。非 Docker 固定目录部署下主要日志位于 /home/urgs/urgs-app/logs/，包括 api.log、executor.log、rag.log、nginx/access.log、nginx/error.log。日志需包含时间、级别、模块、请求/任务标识、用户、异常堆栈和关键业务对象。</w:t>
      </w:r>
    </w:p>
    <w:p w14:paraId="5DFEA13E">
      <w:pPr>
        <w:pStyle w:val="3"/>
      </w:pPr>
      <w:r>
        <w:t>15 应用监控接入设计</w:t>
      </w:r>
    </w:p>
    <w:p w14:paraId="3A5DA80D">
      <w:r>
        <w:t>应用监控包括服务进程状态、端口、CPU、内存、磁盘、数据库连接、API 响应、任务实例失败/超时、执行器心跳、RAG 服务可用性、Neo4j 连接和 Nginx 日志。系统提供 Docker 日志、基础设施管理、工作台卡片和调度统计入口；生产环境建议接入行内统一监控和告警平台。</w:t>
      </w:r>
    </w:p>
    <w:p w14:paraId="03868FF8">
      <w:pPr>
        <w:pStyle w:val="3"/>
      </w:pPr>
      <w:r>
        <w:t>16 自动化部署接入设计</w:t>
      </w:r>
    </w:p>
    <w:p w14:paraId="49809A06">
      <w:r>
        <w:t>非 Docker 部署通过 deploy/package-services.sh 打包，按 DEPLOY_ENV 选择 sit/pre/prod 模板生成 config/deploy.env，上传 dist-packages/&lt;PACKAGE_NAME&gt;.tar.gz 后解压，在新包目录执行 URGS_DEPLOY_HOME=/home/urgs/urgs-app bin/deploy.sh up。脚本会同步服务、组件和配置，备份旧文件并重启当前包包含的服务。版本管理模块还提供应用系统库、Git 仓库、流水线、部署记录、投产包、AI 智查和发布统计。</w:t>
      </w:r>
    </w:p>
    <w:p w14:paraId="1945B740">
      <w:pPr>
        <w:pStyle w:val="3"/>
      </w:pPr>
      <w:r>
        <w:t>17 批处理设计</w:t>
      </w:r>
    </w:p>
    <w:p w14:paraId="46A5336D">
      <w:r>
        <w:t>批处理设计以 Quartz 调度和执行器为核心。任务定义保存任务类型、执行路径、数据源、参数、依赖和优先级；Quartz 根据 Cron 或手工触发生成实例；执行器按并发配置拉取实例并执行；状态包括等待、运行、成功、失败、超时、停止等；支持补跑、批量补跑、依赖校验、强制成功、停止和日志查看。</w:t>
      </w:r>
    </w:p>
    <w:p w14:paraId="5685E997">
      <w:pPr>
        <w:pStyle w:val="3"/>
      </w:pPr>
      <w:r>
        <w:t>18 机构撤并设计</w:t>
      </w:r>
    </w:p>
    <w:p w14:paraId="47D9ABED">
      <w:r>
        <w:t>机构撤并通过机构管理维护组织层级、启停状态和上下级关系。发生机构撤并时，应先评估用户、角色、任务、公告、资产、问题、知识文档和发布记录的机构归属，再按迁移方案更新机构编码或归属关系，并保留变更记录。涉及历史审计记录的机构字段原则上不物理删除，采用停用、映射或归档方式保证可追溯。</w:t>
      </w:r>
    </w:p>
    <w:p w14:paraId="7468FB4A">
      <w:pPr>
        <w:pStyle w:val="3"/>
      </w:pPr>
      <w:r>
        <w:t>19 统一身份认证设计</w:t>
      </w:r>
    </w:p>
    <w:p w14:paraId="673D2760">
      <w:r>
        <w:t>系统支持本地账号登录和入站 RSA SSO。SSO 流程为外部系统携带 sso_login_token 访问 URGS，前端调用 /api/auth/profile 换取用户信息和 token，随后加载权限并跳转目标页面。生产配置通过 URGS_INBOUND_SSO_RSA_PRIVATE_KEY 配置私钥，需纳入密钥管理。后续可按行内统一认证标准扩展 OAuth2/OIDC 或统一门户单点登录。</w:t>
      </w:r>
    </w:p>
    <w:p w14:paraId="4FB71F6A">
      <w:pPr>
        <w:pStyle w:val="3"/>
      </w:pPr>
      <w:r>
        <w:t>20 系统字符集设计</w:t>
      </w:r>
    </w:p>
    <w:p w14:paraId="051F65F0">
      <w:r>
        <w:t>系统统一采用 UTF-8 字符集。Java 服务设置 -Dfile.encoding=UTF-8，数据库建议使用 utf8mb4，前端、接口、文件名、日志和导入导出均按 UTF-8 处理；时间统一使用 Asia/Shanghai。对历史 GBK 文件或外部系统编码输入，应在导入环节进行显式转码和校验。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6CB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Sherlock.!</cp:lastModifiedBy>
  <dcterms:modified xsi:type="dcterms:W3CDTF">2026-06-05T11:10:32Z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2B0F756A5885A642283E226AEFB76567_42</vt:lpwstr>
  </property>
</Properties>
</file>