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Quantitative Analyst II</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Affirm</w:t>
      </w:r>
    </w:p>
    <w:p w14:paraId="258A2FF1" w14:textId="509234DE" w:rsidR="00D6755D" w:rsidRDefault="00EB4C51" w:rsidP="00D6755D">
      <w:pPr>
        <w:rPr>
          <w:rFonts w:ascii="Barlow" w:hAnsi="Barlow"/>
        </w:rPr>
      </w:pPr>
      <w:r>
        <w:rPr>
          <w:rFonts w:ascii="Barlow" w:hAnsi="Barlow"/>
        </w:rPr>
        <w:t>Kitchener,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Quantitative Analyst II</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Quantitative Analyst II</w:t>
      </w:r>
      <w:r w:rsidR="00F40C5B" w:rsidRPr="00F40C5B">
        <w:rPr>
          <w:rFonts w:ascii="Barlow" w:hAnsi="Barlow"/>
        </w:rPr>
        <w:t xml:space="preserve"> at </w:t>
      </w:r>
      <w:r w:rsidR="00BB1EC6" w:rsidRPr="00BB1EC6">
        <w:rPr>
          <w:rFonts w:ascii="Barlow" w:hAnsi="Barlow"/>
        </w:rPr>
        <w:t>Affirm</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Affirm</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Affirm’s innovative approach to consumer finance is a major factor that draws me to this role. Affirm’s commitment to transparency and creating consumer-friendly financial products aligns perfectly with my values and career goals. I am particularly impressed by Affirm’s dedication to eliminating hidden fees and providing clear, upfront information to consumers, which resonates with my passion for ethical financial practices. The opportunity to work at a company that leverages cutting-edge technology to optimize portfolio economics and consumer growth is incredibly exciting to me. I am eager to contribute to Affirm’s mission of delivering honest financial products that improve lives.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AWS, essential for the Quantitative Analyst role at Affirm. My achievements include boosting sales projections by 15% with predictive models and enhancing system reliability through automated monitoring. My collaborative and problem-solving abilities make me a great fit for this role. I am confident my technical expertise and passion for fintech innovation will significantly contribute to Affirm’s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