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Data Analyst I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AWS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