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Power BI Developer NOC SOC Intelligence Specialist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09-Aug-2024</w:t>
      </w:r>
    </w:p>
    <w:p w14:paraId="234BF866" w14:textId="2600BFBF" w:rsidR="00EB4C51" w:rsidRDefault="00EB4C51" w:rsidP="00D6755D">
      <w:pPr>
        <w:rPr>
          <w:rFonts w:ascii="Barlow" w:hAnsi="Barlow"/>
        </w:rPr>
      </w:pPr>
      <w:r>
        <w:rPr>
          <w:rFonts w:ascii="Barlow" w:hAnsi="Barlow"/>
        </w:rPr>
        <w:t>J M Group</w:t>
      </w:r>
    </w:p>
    <w:p w14:paraId="258A2FF1" w14:textId="509234DE" w:rsidR="00D6755D" w:rsidRDefault="00EB4C51" w:rsidP="00D6755D">
      <w:pPr>
        <w:rPr>
          <w:rFonts w:ascii="Barlow" w:hAnsi="Barlow"/>
        </w:rPr>
      </w:pPr>
      <w:r>
        <w:rPr>
          <w:rFonts w:ascii="Barlow" w:hAnsi="Barlow"/>
        </w:rPr>
        <w:t>Brampton,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Power BI Developer NOC SOC Intelligence Specialist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Power BI Developer NOC SOC Intelligence Specialist</w:t>
      </w:r>
      <w:r w:rsidR="00F40C5B" w:rsidRPr="00F40C5B">
        <w:rPr>
          <w:rFonts w:ascii="Barlow" w:hAnsi="Barlow"/>
        </w:rPr>
        <w:t xml:space="preserve"> at </w:t>
      </w:r>
      <w:r w:rsidR="00BB1EC6" w:rsidRPr="00BB1EC6">
        <w:rPr>
          <w:rFonts w:ascii="Barlow" w:hAnsi="Barlow"/>
        </w:rPr>
        <w:t>J M Group</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J M Group</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J&amp;M Group's commitment to enhancing security through innovative technological solutions greatly resonates with my professional values. The company's mission of providing top-tier security and network intelligence tools, such as Splunk and QRadar, positions them as a leader in the cybersecurity landscape. Their dedication to ensuring client data protection aligns perfectly with my passion for data analysis and visualization in the digital security domain. The opportunities for growth and development at J&amp;M Group, combined with their collaborative culture, excite me. I am eager to be a part of a team that prioritizes innovation and user-friendly design, guiding organizations toward a more secure future.</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strong expertise in Power BI and Python, both essential for the Power BI Developer role at J&amp;M Group. My track record includes successfully designing tailored dashboards that enhanced data processing workflows by over 30%, directly aligning with the company's need for insightful visualizations in security data management. I am passionate about leveraging data to drive informed decisions and improve operational efficiencies. I look forward to contributing to J&amp;M Group's mission of delivering first-rate security solutions while hoping to master my homemade pizza recipe before our conversation!</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