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Victoria,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 Full Stack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Plexxis Software</w:t>
      </w:r>
    </w:p>
    <w:p w14:paraId="258A2FF1" w14:textId="509234DE" w:rsidR="00D6755D" w:rsidRDefault="00EB4C51" w:rsidP="00D6755D">
      <w:pPr>
        <w:rPr>
          <w:rFonts w:ascii="Barlow" w:hAnsi="Barlow"/>
        </w:rPr>
      </w:pPr>
      <w:r>
        <w:rPr>
          <w:rFonts w:ascii="Barlow" w:hAnsi="Barlow"/>
        </w:rPr>
        <w:t>Victoria,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 Full Stack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 Full Stack Developer at Plexxis Software,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Plexxis Software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Plexxis Software's mission to maximize the profit and efficiency of construction subcontractors through innovative software solutions resonates deeply with my values and career aspirations. The company's unique approach to integrating accounting, project management, and mobile applications into a single solution sets it apart in the market, making it a leader in the construction software industry. I am particularly impressed by Plexxis's commitment to fostering a collaborative and high-energy work environment that encourages creativity and teamwork. As a rapidly growing company, Plexxis offers exciting growth opportunities that align perfectly with my goal of becoming a strong developer. I am eager to contribute to a team that is dedicated to delivering exceptional products that truly make a difference for its users.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analysis and a solid foundation in web development technologies, I am well-equipped to excel in the Junior Full Stack JavaScript Developer role at Plexxis Software. My experience with JavaScript, React, and my passion for coding, combined with my background in developing applications that enhance efficiency, demonstrate my capability to contribute meaningfully to the Plexxis web development team. I am particularly proud of my project where I created an interactive digital portfolio using Next.js and JavaScript, showcasing my front-end skills and backend data management abilities. I am excited about the opportunity to grow as a developer within a company that values innovation and teamwork. And, of course, I hope to perfect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