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77C19" w14:textId="77777777" w:rsidR="00100CD3" w:rsidRDefault="00000000">
      <w:pPr>
        <w:rPr>
          <w:b/>
          <w:bCs/>
          <w:sz w:val="30"/>
          <w:szCs w:val="30"/>
        </w:rPr>
      </w:pPr>
      <w:r>
        <w:rPr>
          <w:rFonts w:hint="eastAsia"/>
          <w:b/>
          <w:bCs/>
          <w:sz w:val="30"/>
          <w:szCs w:val="30"/>
        </w:rPr>
        <w:t>Tax Reform in a Heterogeneous Agent Model</w:t>
      </w:r>
    </w:p>
    <w:p w14:paraId="7970AAFD" w14:textId="77777777" w:rsidR="00100CD3" w:rsidRDefault="00100CD3"/>
    <w:p w14:paraId="725CAFEE" w14:textId="77777777" w:rsidR="00100CD3" w:rsidRDefault="00000000">
      <w:pPr>
        <w:numPr>
          <w:ilvl w:val="0"/>
          <w:numId w:val="1"/>
        </w:numPr>
        <w:rPr>
          <w:b/>
          <w:bCs/>
        </w:rPr>
      </w:pPr>
      <w:r>
        <w:rPr>
          <w:rFonts w:hint="eastAsia"/>
          <w:b/>
          <w:bCs/>
        </w:rPr>
        <w:t>Introduction</w:t>
      </w:r>
    </w:p>
    <w:p w14:paraId="68D63F9C" w14:textId="77777777" w:rsidR="00100CD3" w:rsidRDefault="00100CD3"/>
    <w:p w14:paraId="58911A61" w14:textId="2ABC72B0" w:rsidR="00100CD3" w:rsidRDefault="00000000" w:rsidP="007B20A3">
      <w:pPr>
        <w:ind w:firstLineChars="200" w:firstLine="480"/>
      </w:pPr>
      <w:r>
        <w:rPr>
          <w:rFonts w:hint="eastAsia"/>
        </w:rPr>
        <w:t xml:space="preserve">This paper studies the effects of a tax reform that increases the progressivity of the labor income tax in an economy with heterogeneous agents. In our model, households maximize expected CRRA utility subject to a borrowing constraint, while facing idiosyncratic productivity shocks. Firms produce output according to a Cobb-Douglas production function, and the government finances its purchases using tax revenues collected from labor income. We compare two tax regimes: a flat tax </w:t>
      </w:r>
      <w:r>
        <w:rPr>
          <w:rFonts w:hint="eastAsia"/>
          <w:sz w:val="21"/>
          <w:szCs w:val="21"/>
        </w:rPr>
        <w:t>(</w:t>
      </w:r>
      <w:r>
        <w:rPr>
          <w:rFonts w:hint="eastAsia"/>
          <w:sz w:val="21"/>
          <w:szCs w:val="21"/>
        </w:rPr>
        <w:t>λ</w:t>
      </w:r>
      <w:r>
        <w:rPr>
          <w:rFonts w:hint="eastAsia"/>
          <w:sz w:val="21"/>
          <w:szCs w:val="21"/>
        </w:rPr>
        <w:t xml:space="preserve"> = 0)</w:t>
      </w:r>
      <w:r>
        <w:rPr>
          <w:rFonts w:hint="eastAsia"/>
        </w:rPr>
        <w:t xml:space="preserve"> and a progressive tax</w:t>
      </w:r>
      <w:r w:rsidR="007B20A3">
        <w:t xml:space="preserve"> </w:t>
      </w:r>
      <w:r>
        <w:rPr>
          <w:rFonts w:hint="eastAsia"/>
          <w:sz w:val="21"/>
          <w:szCs w:val="21"/>
        </w:rPr>
        <w:t>(</w:t>
      </w:r>
      <w:r>
        <w:rPr>
          <w:rFonts w:hint="eastAsia"/>
          <w:sz w:val="21"/>
          <w:szCs w:val="21"/>
        </w:rPr>
        <w:t>λ</w:t>
      </w:r>
      <w:r>
        <w:rPr>
          <w:rFonts w:hint="eastAsia"/>
          <w:sz w:val="21"/>
          <w:szCs w:val="21"/>
        </w:rPr>
        <w:t xml:space="preserve"> = 0.15)</w:t>
      </w:r>
      <w:r>
        <w:rPr>
          <w:rFonts w:hint="eastAsia"/>
        </w:rPr>
        <w:t xml:space="preserve"> under the calibration targets of an equilibrium interest rate of 0.04,a wage normalized to 1, and a government purchases-to-output ratio of 0.2.</w:t>
      </w:r>
    </w:p>
    <w:p w14:paraId="51ADCF15" w14:textId="77777777" w:rsidR="00100CD3" w:rsidRDefault="00100CD3">
      <w:pPr>
        <w:rPr>
          <w:b/>
          <w:bCs/>
        </w:rPr>
      </w:pPr>
    </w:p>
    <w:p w14:paraId="13EE3C49" w14:textId="77777777" w:rsidR="00100CD3" w:rsidRDefault="00000000">
      <w:pPr>
        <w:numPr>
          <w:ilvl w:val="0"/>
          <w:numId w:val="1"/>
        </w:numPr>
        <w:rPr>
          <w:b/>
          <w:bCs/>
        </w:rPr>
      </w:pPr>
      <w:r>
        <w:rPr>
          <w:rFonts w:hint="eastAsia"/>
          <w:b/>
          <w:bCs/>
        </w:rPr>
        <w:t>Model Description</w:t>
      </w:r>
    </w:p>
    <w:p w14:paraId="358B8653" w14:textId="77777777" w:rsidR="00100CD3" w:rsidRDefault="00100CD3">
      <w:pPr>
        <w:rPr>
          <w:b/>
          <w:bCs/>
        </w:rPr>
      </w:pPr>
    </w:p>
    <w:p w14:paraId="44ACF4C5" w14:textId="77777777" w:rsidR="00100CD3" w:rsidRDefault="00000000">
      <w:pPr>
        <w:numPr>
          <w:ilvl w:val="1"/>
          <w:numId w:val="1"/>
        </w:numPr>
      </w:pPr>
      <w:r>
        <w:rPr>
          <w:rFonts w:hint="eastAsia"/>
        </w:rPr>
        <w:t>Household Problem</w:t>
      </w:r>
    </w:p>
    <w:p w14:paraId="3A370282" w14:textId="77777777" w:rsidR="00100CD3" w:rsidRDefault="00000000">
      <w:r>
        <w:rPr>
          <w:rFonts w:hint="eastAsia"/>
        </w:rPr>
        <w:t>Households maximize expected utility</w:t>
      </w:r>
      <w:r>
        <w:rPr>
          <w:rFonts w:hint="eastAsia"/>
        </w:rPr>
        <w:t>：</w:t>
      </w:r>
    </w:p>
    <w:p w14:paraId="6B680001" w14:textId="77777777" w:rsidR="00100CD3" w:rsidRDefault="00100CD3">
      <w:pPr>
        <w:rPr>
          <w:b/>
          <w:bCs/>
        </w:rPr>
      </w:pPr>
    </w:p>
    <w:p w14:paraId="0FD50AD8" w14:textId="77777777" w:rsidR="00100CD3" w:rsidRDefault="00000000">
      <w:pPr>
        <w:jc w:val="center"/>
      </w:pPr>
      <w:r>
        <w:rPr>
          <w:noProof/>
        </w:rPr>
        <w:drawing>
          <wp:inline distT="0" distB="0" distL="114300" distR="114300" wp14:anchorId="0D010793" wp14:editId="7B8C492C">
            <wp:extent cx="1857375" cy="723900"/>
            <wp:effectExtent l="0" t="0" r="2222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857375" cy="723900"/>
                    </a:xfrm>
                    <a:prstGeom prst="rect">
                      <a:avLst/>
                    </a:prstGeom>
                    <a:noFill/>
                    <a:ln>
                      <a:noFill/>
                    </a:ln>
                  </pic:spPr>
                </pic:pic>
              </a:graphicData>
            </a:graphic>
          </wp:inline>
        </w:drawing>
      </w:r>
    </w:p>
    <w:p w14:paraId="7B0DCA45" w14:textId="77777777" w:rsidR="00100CD3" w:rsidRDefault="00000000">
      <w:pPr>
        <w:jc w:val="left"/>
      </w:pPr>
      <w:r>
        <w:rPr>
          <w:rFonts w:hint="eastAsia"/>
        </w:rPr>
        <w:t>With CRRA utility function:</w:t>
      </w:r>
    </w:p>
    <w:p w14:paraId="5B15B60C" w14:textId="77777777" w:rsidR="00100CD3" w:rsidRDefault="00100CD3">
      <w:pPr>
        <w:jc w:val="left"/>
      </w:pPr>
    </w:p>
    <w:p w14:paraId="6AF5C34C" w14:textId="77777777" w:rsidR="00100CD3" w:rsidRDefault="00000000">
      <w:pPr>
        <w:jc w:val="center"/>
      </w:pPr>
      <w:r>
        <w:rPr>
          <w:rFonts w:hint="eastAsia"/>
        </w:rPr>
        <w:t xml:space="preserve">           </w:t>
      </w:r>
      <w:r>
        <w:rPr>
          <w:noProof/>
        </w:rPr>
        <w:drawing>
          <wp:inline distT="0" distB="0" distL="114300" distR="114300" wp14:anchorId="4FE014B8" wp14:editId="6287BAB9">
            <wp:extent cx="1444625" cy="490855"/>
            <wp:effectExtent l="0" t="0" r="317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444625" cy="490855"/>
                    </a:xfrm>
                    <a:prstGeom prst="rect">
                      <a:avLst/>
                    </a:prstGeom>
                    <a:noFill/>
                    <a:ln>
                      <a:noFill/>
                    </a:ln>
                  </pic:spPr>
                </pic:pic>
              </a:graphicData>
            </a:graphic>
          </wp:inline>
        </w:drawing>
      </w:r>
      <w:r>
        <w:rPr>
          <w:rFonts w:hint="eastAsia"/>
        </w:rPr>
        <w:t xml:space="preserve">    </w:t>
      </w:r>
      <w:r>
        <w:rPr>
          <w:rFonts w:hint="eastAsia"/>
        </w:rPr>
        <w:t>γ</w:t>
      </w:r>
      <w:r>
        <w:rPr>
          <w:rFonts w:hint="eastAsia"/>
        </w:rPr>
        <w:t>=2</w:t>
      </w:r>
    </w:p>
    <w:p w14:paraId="71522BC0" w14:textId="77777777" w:rsidR="00100CD3" w:rsidRDefault="00100CD3">
      <w:pPr>
        <w:jc w:val="left"/>
      </w:pPr>
    </w:p>
    <w:p w14:paraId="7865493A" w14:textId="77777777" w:rsidR="00100CD3" w:rsidRDefault="00000000">
      <w:pPr>
        <w:jc w:val="left"/>
      </w:pPr>
      <w:r>
        <w:rPr>
          <w:rFonts w:hint="eastAsia"/>
        </w:rPr>
        <w:t>Households face the budget constraint:</w:t>
      </w:r>
    </w:p>
    <w:p w14:paraId="60B7263C" w14:textId="77777777" w:rsidR="00100CD3" w:rsidRDefault="00000000">
      <w:pPr>
        <w:jc w:val="center"/>
      </w:pPr>
      <w:r>
        <w:rPr>
          <w:noProof/>
        </w:rPr>
        <w:drawing>
          <wp:inline distT="0" distB="0" distL="114300" distR="114300" wp14:anchorId="0C1329EB" wp14:editId="563BE6A0">
            <wp:extent cx="3519170" cy="417195"/>
            <wp:effectExtent l="0" t="0" r="1143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19170" cy="417195"/>
                    </a:xfrm>
                    <a:prstGeom prst="rect">
                      <a:avLst/>
                    </a:prstGeom>
                    <a:noFill/>
                    <a:ln>
                      <a:noFill/>
                    </a:ln>
                  </pic:spPr>
                </pic:pic>
              </a:graphicData>
            </a:graphic>
          </wp:inline>
        </w:drawing>
      </w:r>
    </w:p>
    <w:p w14:paraId="6D42C8DA" w14:textId="408B1132" w:rsidR="00100CD3" w:rsidRDefault="00000000">
      <w:pPr>
        <w:jc w:val="left"/>
      </w:pPr>
      <w:r>
        <w:rPr>
          <w:rFonts w:hint="eastAsia"/>
        </w:rPr>
        <w:t xml:space="preserve">where labor income is </w:t>
      </w:r>
      <w:proofErr w:type="gramStart"/>
      <w:r>
        <w:rPr>
          <w:rFonts w:hint="eastAsia"/>
        </w:rPr>
        <w:t>(</w:t>
      </w:r>
      <w:r w:rsidR="007B20A3">
        <w:t xml:space="preserve"> </w:t>
      </w:r>
      <w:proofErr w:type="spellStart"/>
      <w:r>
        <w:rPr>
          <w:rFonts w:hint="eastAsia"/>
        </w:rPr>
        <w:t>y</w:t>
      </w:r>
      <w:proofErr w:type="gramEnd"/>
      <w:r>
        <w:t>_</w:t>
      </w:r>
      <w:r>
        <w:rPr>
          <w:rFonts w:hint="eastAsia"/>
        </w:rPr>
        <w:t>t</w:t>
      </w:r>
      <w:proofErr w:type="spellEnd"/>
      <w:r>
        <w:rPr>
          <w:rFonts w:hint="eastAsia"/>
        </w:rPr>
        <w:t xml:space="preserve"> = </w:t>
      </w:r>
      <w:proofErr w:type="spellStart"/>
      <w:r>
        <w:rPr>
          <w:rFonts w:hint="eastAsia"/>
        </w:rPr>
        <w:t>z_t</w:t>
      </w:r>
      <w:proofErr w:type="spellEnd"/>
      <w:r>
        <w:rPr>
          <w:rFonts w:hint="eastAsia"/>
        </w:rPr>
        <w:t xml:space="preserve"> )</w:t>
      </w:r>
      <w:r w:rsidR="007B20A3">
        <w:t xml:space="preserve"> </w:t>
      </w:r>
      <w:r>
        <w:rPr>
          <w:rFonts w:hint="eastAsia"/>
        </w:rPr>
        <w:t>(with wage normalized to 1) and T(</w:t>
      </w:r>
      <w:r w:rsidR="007B20A3">
        <w:t xml:space="preserve"> </w:t>
      </w:r>
      <w:proofErr w:type="spellStart"/>
      <w:r>
        <w:rPr>
          <w:rFonts w:hint="eastAsia"/>
        </w:rPr>
        <w:t>y_t</w:t>
      </w:r>
      <w:proofErr w:type="spellEnd"/>
      <w:r w:rsidR="007B20A3">
        <w:t xml:space="preserve"> </w:t>
      </w:r>
      <w:r>
        <w:rPr>
          <w:rFonts w:hint="eastAsia"/>
        </w:rPr>
        <w:t>) is the tax function. In our formulation the tax function is given by:</w:t>
      </w:r>
    </w:p>
    <w:p w14:paraId="39136E89" w14:textId="77777777" w:rsidR="007B20A3" w:rsidRDefault="007B20A3">
      <w:pPr>
        <w:jc w:val="left"/>
      </w:pPr>
    </w:p>
    <w:p w14:paraId="3620331B" w14:textId="1A888283" w:rsidR="00100CD3" w:rsidRDefault="00000000" w:rsidP="007B20A3">
      <w:pPr>
        <w:jc w:val="center"/>
      </w:pPr>
      <w:r>
        <w:t>T(y)=y−(1−</w:t>
      </w:r>
      <w:proofErr w:type="gramStart"/>
      <w:r>
        <w:t>τ)y</w:t>
      </w:r>
      <w:proofErr w:type="gramEnd"/>
      <w:r>
        <w:t xml:space="preserve"> ^(1−λ)</w:t>
      </w:r>
    </w:p>
    <w:p w14:paraId="4931A455" w14:textId="77777777" w:rsidR="007B20A3" w:rsidRDefault="007B20A3" w:rsidP="007B20A3">
      <w:pPr>
        <w:jc w:val="center"/>
      </w:pPr>
    </w:p>
    <w:p w14:paraId="0C555978" w14:textId="77777777" w:rsidR="00100CD3" w:rsidRDefault="00000000">
      <w:pPr>
        <w:jc w:val="left"/>
      </w:pPr>
      <w:r>
        <w:rPr>
          <w:rFonts w:hint="eastAsia"/>
        </w:rPr>
        <w:t>so that the post-tax income is</w:t>
      </w:r>
      <w:r>
        <w:t>:</w:t>
      </w:r>
    </w:p>
    <w:p w14:paraId="231C64A0" w14:textId="77777777" w:rsidR="007B20A3" w:rsidRDefault="007B20A3">
      <w:pPr>
        <w:jc w:val="left"/>
      </w:pPr>
    </w:p>
    <w:p w14:paraId="41560F16" w14:textId="77777777" w:rsidR="00100CD3" w:rsidRDefault="00000000">
      <w:pPr>
        <w:jc w:val="center"/>
      </w:pPr>
      <m:oMath>
        <m:acc>
          <m:accPr>
            <m:chr m:val="̅"/>
            <m:ctrlPr>
              <w:rPr>
                <w:rFonts w:ascii="DejaVu Math TeX Gyre" w:hAnsi="DejaVu Math TeX Gyre"/>
                <w:i/>
              </w:rPr>
            </m:ctrlPr>
          </m:accPr>
          <m:e>
            <m:r>
              <w:rPr>
                <w:rFonts w:ascii="DejaVu Math TeX Gyre" w:hAnsi="DejaVu Math TeX Gyre"/>
              </w:rPr>
              <m:t>y</m:t>
            </m:r>
          </m:e>
        </m:acc>
      </m:oMath>
      <w:r>
        <w:t>=(1−</w:t>
      </w:r>
      <w:proofErr w:type="gramStart"/>
      <w:r>
        <w:t>τ)y</w:t>
      </w:r>
      <w:proofErr w:type="gramEnd"/>
      <w:r>
        <w:t xml:space="preserve"> ^(1-λ)</w:t>
      </w:r>
    </w:p>
    <w:p w14:paraId="5E6067AA" w14:textId="77777777" w:rsidR="007B20A3" w:rsidRDefault="007B20A3">
      <w:pPr>
        <w:jc w:val="center"/>
      </w:pPr>
    </w:p>
    <w:p w14:paraId="1D8D8534" w14:textId="0D589545" w:rsidR="00100CD3" w:rsidRDefault="00000000">
      <w:pPr>
        <w:jc w:val="left"/>
      </w:pPr>
      <w:r>
        <w:rPr>
          <w:rFonts w:hint="eastAsia"/>
        </w:rPr>
        <w:t xml:space="preserve">For </w:t>
      </w:r>
      <w:r>
        <w:rPr>
          <w:rFonts w:hint="eastAsia"/>
        </w:rPr>
        <w:t>λ</w:t>
      </w:r>
      <w:r>
        <w:rPr>
          <w:rFonts w:hint="eastAsia"/>
        </w:rPr>
        <w:t xml:space="preserve"> = 0 the model reduces to a flat tax with</w:t>
      </w:r>
      <w:r w:rsidR="007B20A3">
        <w:t>:</w:t>
      </w:r>
    </w:p>
    <w:p w14:paraId="0E206D27" w14:textId="77777777" w:rsidR="007B20A3" w:rsidRDefault="007B20A3">
      <w:pPr>
        <w:jc w:val="left"/>
      </w:pPr>
    </w:p>
    <w:p w14:paraId="593BD6EF" w14:textId="77777777" w:rsidR="00100CD3" w:rsidRDefault="00000000">
      <w:pPr>
        <w:jc w:val="center"/>
      </w:pPr>
      <m:oMath>
        <m:acc>
          <m:accPr>
            <m:chr m:val="̅"/>
            <m:ctrlPr>
              <w:rPr>
                <w:rFonts w:ascii="DejaVu Math TeX Gyre" w:hAnsi="DejaVu Math TeX Gyre"/>
                <w:i/>
              </w:rPr>
            </m:ctrlPr>
          </m:accPr>
          <m:e>
            <m:r>
              <w:rPr>
                <w:rFonts w:ascii="DejaVu Math TeX Gyre" w:hAnsi="DejaVu Math TeX Gyre"/>
              </w:rPr>
              <m:t>y</m:t>
            </m:r>
          </m:e>
        </m:acc>
      </m:oMath>
      <w:r>
        <w:t>=(1−</w:t>
      </w:r>
      <w:proofErr w:type="gramStart"/>
      <w:r>
        <w:t>τ)y</w:t>
      </w:r>
      <w:proofErr w:type="gramEnd"/>
    </w:p>
    <w:p w14:paraId="67B16DC2" w14:textId="77777777" w:rsidR="00100CD3" w:rsidRDefault="00100CD3">
      <w:pPr>
        <w:jc w:val="left"/>
      </w:pPr>
    </w:p>
    <w:p w14:paraId="1CCC8AA3" w14:textId="77777777" w:rsidR="00100CD3" w:rsidRDefault="00100CD3">
      <w:pPr>
        <w:jc w:val="left"/>
      </w:pPr>
    </w:p>
    <w:p w14:paraId="6DEF5CEA" w14:textId="77777777" w:rsidR="00100CD3" w:rsidRDefault="00000000">
      <w:pPr>
        <w:jc w:val="left"/>
      </w:pPr>
      <w:r>
        <w:rPr>
          <w:rFonts w:hint="eastAsia"/>
        </w:rPr>
        <w:t>2.2 Productivity Process</w:t>
      </w:r>
    </w:p>
    <w:p w14:paraId="12CC64B6" w14:textId="77777777" w:rsidR="00100CD3" w:rsidRDefault="00100CD3">
      <w:pPr>
        <w:jc w:val="left"/>
      </w:pPr>
    </w:p>
    <w:p w14:paraId="46405C94" w14:textId="77777777" w:rsidR="00100CD3" w:rsidRDefault="00000000">
      <w:pPr>
        <w:jc w:val="left"/>
      </w:pPr>
      <w:r>
        <w:rPr>
          <w:rFonts w:hint="eastAsia"/>
        </w:rPr>
        <w:t xml:space="preserve">The idiosyncratic productivity shock </w:t>
      </w:r>
      <w:proofErr w:type="spellStart"/>
      <w:r>
        <w:rPr>
          <w:rFonts w:hint="eastAsia"/>
        </w:rPr>
        <w:t>z_t</w:t>
      </w:r>
      <w:proofErr w:type="spellEnd"/>
      <w:r>
        <w:rPr>
          <w:rFonts w:hint="eastAsia"/>
        </w:rPr>
        <w:t xml:space="preserve"> follows an </w:t>
      </w:r>
      <w:proofErr w:type="gramStart"/>
      <w:r>
        <w:rPr>
          <w:rFonts w:hint="eastAsia"/>
        </w:rPr>
        <w:t>AR(</w:t>
      </w:r>
      <w:proofErr w:type="gramEnd"/>
      <w:r>
        <w:rPr>
          <w:rFonts w:hint="eastAsia"/>
        </w:rPr>
        <w:t>1) process in</w:t>
      </w:r>
      <w:r>
        <w:t xml:space="preserve"> </w:t>
      </w:r>
      <w:r>
        <w:rPr>
          <w:rFonts w:hint="eastAsia"/>
        </w:rPr>
        <w:t>logs:</w:t>
      </w:r>
    </w:p>
    <w:p w14:paraId="6BCEEB0B" w14:textId="77777777" w:rsidR="007B20A3" w:rsidRDefault="007B20A3">
      <w:pPr>
        <w:jc w:val="left"/>
      </w:pPr>
    </w:p>
    <w:p w14:paraId="2E2C7807" w14:textId="77777777" w:rsidR="00100CD3" w:rsidRDefault="00000000">
      <w:pPr>
        <w:jc w:val="center"/>
      </w:pPr>
      <w:r>
        <w:rPr>
          <w:noProof/>
        </w:rPr>
        <w:drawing>
          <wp:inline distT="0" distB="0" distL="114300" distR="114300" wp14:anchorId="530B6230" wp14:editId="76C2B203">
            <wp:extent cx="2818765" cy="35052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18765" cy="350520"/>
                    </a:xfrm>
                    <a:prstGeom prst="rect">
                      <a:avLst/>
                    </a:prstGeom>
                    <a:noFill/>
                    <a:ln>
                      <a:noFill/>
                    </a:ln>
                  </pic:spPr>
                </pic:pic>
              </a:graphicData>
            </a:graphic>
          </wp:inline>
        </w:drawing>
      </w:r>
    </w:p>
    <w:p w14:paraId="7B056B59" w14:textId="77777777" w:rsidR="00100CD3" w:rsidRDefault="00100CD3">
      <w:pPr>
        <w:jc w:val="left"/>
      </w:pPr>
    </w:p>
    <w:p w14:paraId="19F42820" w14:textId="1C99B6DB" w:rsidR="00100CD3" w:rsidRDefault="00000000">
      <w:pPr>
        <w:jc w:val="left"/>
      </w:pPr>
      <w:r>
        <w:rPr>
          <w:rFonts w:hint="eastAsia"/>
        </w:rPr>
        <w:t xml:space="preserve">with </w:t>
      </w:r>
      <w:r w:rsidR="007B20A3" w:rsidRPr="007B20A3">
        <w:t>ρ</w:t>
      </w:r>
      <w:r>
        <w:rPr>
          <w:rFonts w:hint="eastAsia"/>
        </w:rPr>
        <w:t xml:space="preserve"> = 0.9</w:t>
      </w:r>
      <w:r w:rsidR="007B20A3">
        <w:t xml:space="preserve"> </w:t>
      </w:r>
      <w:r>
        <w:rPr>
          <w:rFonts w:hint="eastAsia"/>
        </w:rPr>
        <w:t xml:space="preserve">and </w:t>
      </w:r>
      <w:r w:rsidR="007F6ADA">
        <w:t xml:space="preserve">σ </w:t>
      </w:r>
      <w:r>
        <w:rPr>
          <w:rFonts w:hint="eastAsia"/>
        </w:rPr>
        <w:t>= 0.4</w:t>
      </w:r>
      <w:r w:rsidR="007B20A3">
        <w:t xml:space="preserve"> </w:t>
      </w:r>
      <w:r>
        <w:rPr>
          <w:rFonts w:hint="eastAsia"/>
        </w:rPr>
        <w:t xml:space="preserve">. Using </w:t>
      </w:r>
      <w:proofErr w:type="spellStart"/>
      <w:r>
        <w:rPr>
          <w:rFonts w:hint="eastAsia"/>
        </w:rPr>
        <w:t>Tauchen</w:t>
      </w:r>
      <w:proofErr w:type="spellEnd"/>
      <w:r>
        <w:rPr>
          <w:rFonts w:hint="eastAsia"/>
        </w:rPr>
        <w:t>’</w:t>
      </w:r>
      <w:r>
        <w:rPr>
          <w:rFonts w:hint="eastAsia"/>
        </w:rPr>
        <w:t xml:space="preserve">s method with 5 nodes, we discretize the process and normalize the states so that the mean of </w:t>
      </w:r>
      <w:r w:rsidR="007B20A3">
        <w:t xml:space="preserve"> </w:t>
      </w:r>
      <w:r>
        <w:rPr>
          <w:rFonts w:hint="eastAsia"/>
        </w:rPr>
        <w:t>z</w:t>
      </w:r>
      <w:r w:rsidR="007B20A3">
        <w:t xml:space="preserve"> </w:t>
      </w:r>
      <w:r>
        <w:rPr>
          <w:rFonts w:hint="eastAsia"/>
        </w:rPr>
        <w:t xml:space="preserve"> is one.</w:t>
      </w:r>
    </w:p>
    <w:p w14:paraId="46B41197" w14:textId="77777777" w:rsidR="00100CD3" w:rsidRDefault="00100CD3">
      <w:pPr>
        <w:jc w:val="left"/>
      </w:pPr>
    </w:p>
    <w:p w14:paraId="51684EB9" w14:textId="77777777" w:rsidR="007F6ADA" w:rsidRDefault="007F6ADA">
      <w:pPr>
        <w:jc w:val="left"/>
      </w:pPr>
    </w:p>
    <w:p w14:paraId="0513B004" w14:textId="77777777" w:rsidR="00100CD3" w:rsidRDefault="00000000">
      <w:pPr>
        <w:jc w:val="left"/>
      </w:pPr>
      <w:r>
        <w:rPr>
          <w:rFonts w:hint="eastAsia"/>
        </w:rPr>
        <w:t>2.3 Firm Problem</w:t>
      </w:r>
    </w:p>
    <w:p w14:paraId="5F543AFB" w14:textId="77777777" w:rsidR="00100CD3" w:rsidRDefault="00100CD3">
      <w:pPr>
        <w:jc w:val="left"/>
      </w:pPr>
    </w:p>
    <w:p w14:paraId="3D678B7F" w14:textId="77777777" w:rsidR="00100CD3" w:rsidRDefault="00000000">
      <w:pPr>
        <w:jc w:val="left"/>
      </w:pPr>
      <w:r>
        <w:rPr>
          <w:rFonts w:hint="eastAsia"/>
        </w:rPr>
        <w:t>The representative firm produces output according to:</w:t>
      </w:r>
    </w:p>
    <w:p w14:paraId="1FF921ED" w14:textId="77777777" w:rsidR="007F6ADA" w:rsidRDefault="007F6ADA">
      <w:pPr>
        <w:jc w:val="left"/>
      </w:pPr>
    </w:p>
    <w:p w14:paraId="485F5895" w14:textId="7F3A7E64" w:rsidR="00100CD3" w:rsidRDefault="00000000">
      <w:pPr>
        <w:jc w:val="center"/>
      </w:pPr>
      <w:r>
        <w:rPr>
          <w:noProof/>
        </w:rPr>
        <w:drawing>
          <wp:inline distT="0" distB="0" distL="114300" distR="114300" wp14:anchorId="2634107B" wp14:editId="04E83A8E">
            <wp:extent cx="1767246" cy="30207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rotWithShape="1">
                    <a:blip r:embed="rId9"/>
                    <a:srcRect l="-1699" t="21545" r="31963" b="8719"/>
                    <a:stretch/>
                  </pic:blipFill>
                  <pic:spPr>
                    <a:xfrm>
                      <a:off x="0" y="0"/>
                      <a:ext cx="1772572" cy="302989"/>
                    </a:xfrm>
                    <a:prstGeom prst="rect">
                      <a:avLst/>
                    </a:prstGeom>
                    <a:noFill/>
                    <a:ln>
                      <a:noFill/>
                    </a:ln>
                  </pic:spPr>
                </pic:pic>
              </a:graphicData>
            </a:graphic>
          </wp:inline>
        </w:drawing>
      </w:r>
      <w:r w:rsidR="007B20A3">
        <w:t xml:space="preserve"> </w:t>
      </w:r>
      <w:r w:rsidR="007B20A3">
        <w:rPr>
          <w:rFonts w:hint="eastAsia"/>
        </w:rPr>
        <w:t>α</w:t>
      </w:r>
      <w:r w:rsidR="007B20A3">
        <w:t>= 0.467</w:t>
      </w:r>
    </w:p>
    <w:p w14:paraId="4D975CBE" w14:textId="77777777" w:rsidR="007F6ADA" w:rsidRDefault="007F6ADA">
      <w:pPr>
        <w:jc w:val="center"/>
      </w:pPr>
    </w:p>
    <w:p w14:paraId="0CD636FB" w14:textId="77777777" w:rsidR="00100CD3" w:rsidRDefault="00000000">
      <w:pPr>
        <w:jc w:val="left"/>
      </w:pPr>
      <w:r>
        <w:rPr>
          <w:rFonts w:hint="eastAsia"/>
        </w:rPr>
        <w:t>with total factor productivity</w:t>
      </w:r>
      <w:r>
        <w:t xml:space="preserve"> </w:t>
      </w:r>
      <w:r>
        <w:rPr>
          <w:rFonts w:hint="eastAsia"/>
        </w:rPr>
        <w:t>A=</w:t>
      </w:r>
      <w:r>
        <w:t xml:space="preserve">1 </w:t>
      </w:r>
      <w:r>
        <w:rPr>
          <w:rFonts w:hint="eastAsia"/>
        </w:rPr>
        <w:t xml:space="preserve">and depreciation rate </w:t>
      </w:r>
      <w:r>
        <w:rPr>
          <w:rFonts w:hint="eastAsia"/>
        </w:rPr>
        <w:t>δ</w:t>
      </w:r>
      <w:r>
        <w:t>=0.1</w:t>
      </w:r>
      <w:r>
        <w:rPr>
          <w:rFonts w:hint="eastAsia"/>
        </w:rPr>
        <w:t xml:space="preserve"> The first order condition for capital gives:</w:t>
      </w:r>
    </w:p>
    <w:p w14:paraId="6AE36D29" w14:textId="77777777" w:rsidR="007F6ADA" w:rsidRDefault="007F6ADA">
      <w:pPr>
        <w:jc w:val="left"/>
      </w:pPr>
    </w:p>
    <w:p w14:paraId="1107EF69" w14:textId="77777777" w:rsidR="00100CD3" w:rsidRDefault="00000000">
      <w:pPr>
        <w:jc w:val="center"/>
      </w:pPr>
      <w:r>
        <w:rPr>
          <w:noProof/>
        </w:rPr>
        <w:drawing>
          <wp:inline distT="0" distB="0" distL="114300" distR="114300" wp14:anchorId="774C3074" wp14:editId="40EBD364">
            <wp:extent cx="1476375" cy="342900"/>
            <wp:effectExtent l="0" t="0" r="2222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476375" cy="342900"/>
                    </a:xfrm>
                    <a:prstGeom prst="rect">
                      <a:avLst/>
                    </a:prstGeom>
                    <a:noFill/>
                    <a:ln>
                      <a:noFill/>
                    </a:ln>
                  </pic:spPr>
                </pic:pic>
              </a:graphicData>
            </a:graphic>
          </wp:inline>
        </w:drawing>
      </w:r>
    </w:p>
    <w:p w14:paraId="6DBAEBC7" w14:textId="77777777" w:rsidR="007F6ADA" w:rsidRDefault="007F6ADA">
      <w:pPr>
        <w:jc w:val="center"/>
      </w:pPr>
    </w:p>
    <w:p w14:paraId="787859C5" w14:textId="6834ACD5" w:rsidR="00100CD3" w:rsidRDefault="00000000">
      <w:pPr>
        <w:jc w:val="left"/>
      </w:pPr>
      <w:r>
        <w:rPr>
          <w:rFonts w:hint="eastAsia"/>
        </w:rPr>
        <w:t>Given the target interest rate r</w:t>
      </w:r>
      <w:r w:rsidR="007B20A3">
        <w:t xml:space="preserve"> </w:t>
      </w:r>
      <w:r>
        <w:rPr>
          <w:rFonts w:hint="eastAsia"/>
        </w:rPr>
        <w:t>=</w:t>
      </w:r>
      <w:r w:rsidR="007B20A3">
        <w:t xml:space="preserve"> </w:t>
      </w:r>
      <w:r>
        <w:rPr>
          <w:rFonts w:hint="eastAsia"/>
        </w:rPr>
        <w:t xml:space="preserve">0.04, we solve for </w:t>
      </w:r>
      <w:proofErr w:type="spellStart"/>
      <w:r>
        <w:rPr>
          <w:rFonts w:hint="eastAsia"/>
        </w:rPr>
        <w:t>Kand</w:t>
      </w:r>
      <w:proofErr w:type="spellEnd"/>
      <w:r>
        <w:rPr>
          <w:rFonts w:hint="eastAsia"/>
        </w:rPr>
        <w:t xml:space="preserve"> determine the corresponding wage w (which is normalized to 1 in calibration).</w:t>
      </w:r>
    </w:p>
    <w:p w14:paraId="3C18D779" w14:textId="77777777" w:rsidR="00100CD3" w:rsidRDefault="00100CD3">
      <w:pPr>
        <w:jc w:val="left"/>
      </w:pPr>
    </w:p>
    <w:p w14:paraId="200F0F01" w14:textId="77777777" w:rsidR="00100CD3" w:rsidRDefault="00000000">
      <w:pPr>
        <w:jc w:val="left"/>
      </w:pPr>
      <w:r>
        <w:rPr>
          <w:rFonts w:hint="eastAsia"/>
        </w:rPr>
        <w:t xml:space="preserve"> 2.4 Government and Market Clearing</w:t>
      </w:r>
    </w:p>
    <w:p w14:paraId="7CBF6F3A" w14:textId="77777777" w:rsidR="00100CD3" w:rsidRDefault="00100CD3">
      <w:pPr>
        <w:jc w:val="left"/>
      </w:pPr>
    </w:p>
    <w:p w14:paraId="571B0A6A" w14:textId="77777777" w:rsidR="00100CD3" w:rsidRDefault="00000000">
      <w:pPr>
        <w:jc w:val="left"/>
      </w:pPr>
      <w:r>
        <w:rPr>
          <w:rFonts w:hint="eastAsia"/>
        </w:rPr>
        <w:t xml:space="preserve">The government collects tax revenue from labor income. Under the flat tax regime, the average tax revenue is simply </w:t>
      </w:r>
      <w:r>
        <w:t xml:space="preserve"> </w:t>
      </w:r>
      <w:r>
        <w:rPr>
          <w:rFonts w:hint="eastAsia"/>
        </w:rPr>
        <w:t>G =</w:t>
      </w:r>
      <w:r>
        <w:rPr>
          <w:rFonts w:hint="eastAsia"/>
        </w:rPr>
        <w:t>τ</w:t>
      </w:r>
      <w:r>
        <w:rPr>
          <w:rFonts w:hint="eastAsia"/>
        </w:rPr>
        <w:t xml:space="preserve"> and we choose </w:t>
      </w:r>
      <w:r>
        <w:rPr>
          <w:rFonts w:hint="eastAsia"/>
        </w:rPr>
        <w:t>τ</w:t>
      </w:r>
      <w:r>
        <w:t xml:space="preserve"> </w:t>
      </w:r>
      <w:r>
        <w:rPr>
          <w:rFonts w:hint="eastAsia"/>
        </w:rPr>
        <w:t xml:space="preserve">such that </w:t>
      </w:r>
      <w:r>
        <w:t xml:space="preserve"> </w:t>
      </w:r>
      <w:r>
        <w:rPr>
          <w:rFonts w:hint="eastAsia"/>
        </w:rPr>
        <w:t>G/Y=0.2. In the progressive tax case (</w:t>
      </w:r>
      <w:r>
        <w:rPr>
          <w:rFonts w:hint="eastAsia"/>
        </w:rPr>
        <w:t>λ</w:t>
      </w:r>
      <w:r>
        <w:rPr>
          <w:rFonts w:hint="eastAsia"/>
        </w:rPr>
        <w:t xml:space="preserve"> = 0.15), </w:t>
      </w:r>
      <w:r>
        <w:rPr>
          <w:rFonts w:hint="eastAsia"/>
        </w:rPr>
        <w:t>τ</w:t>
      </w:r>
      <w:r>
        <w:rPr>
          <w:rFonts w:hint="eastAsia"/>
        </w:rPr>
        <w:t>is adjusted to keep government revenue unchanged:</w:t>
      </w:r>
    </w:p>
    <w:p w14:paraId="4EA62321" w14:textId="77777777" w:rsidR="007F6ADA" w:rsidRDefault="007F6ADA">
      <w:pPr>
        <w:jc w:val="left"/>
      </w:pPr>
    </w:p>
    <w:p w14:paraId="436B7892" w14:textId="77777777" w:rsidR="00100CD3" w:rsidRDefault="00000000">
      <w:pPr>
        <w:jc w:val="center"/>
      </w:pPr>
      <w:r>
        <w:rPr>
          <w:noProof/>
        </w:rPr>
        <w:drawing>
          <wp:inline distT="0" distB="0" distL="114300" distR="114300" wp14:anchorId="321989E8" wp14:editId="18CC564F">
            <wp:extent cx="2333625" cy="466725"/>
            <wp:effectExtent l="0" t="0" r="3175"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333625" cy="466725"/>
                    </a:xfrm>
                    <a:prstGeom prst="rect">
                      <a:avLst/>
                    </a:prstGeom>
                    <a:noFill/>
                    <a:ln>
                      <a:noFill/>
                    </a:ln>
                  </pic:spPr>
                </pic:pic>
              </a:graphicData>
            </a:graphic>
          </wp:inline>
        </w:drawing>
      </w:r>
    </w:p>
    <w:p w14:paraId="1D01CEAD" w14:textId="77777777" w:rsidR="007F6ADA" w:rsidRDefault="007F6ADA">
      <w:pPr>
        <w:jc w:val="center"/>
      </w:pPr>
    </w:p>
    <w:p w14:paraId="0CFD60BE" w14:textId="77777777" w:rsidR="00100CD3" w:rsidRDefault="00000000">
      <w:pPr>
        <w:jc w:val="left"/>
      </w:pPr>
      <w:r>
        <w:rPr>
          <w:rFonts w:hint="eastAsia"/>
        </w:rPr>
        <w:t>Market clearing in the asset market requires that the aggregate asset demand of households equals the capital supplied by firms.</w:t>
      </w:r>
    </w:p>
    <w:p w14:paraId="6F751B7B" w14:textId="77777777" w:rsidR="00100CD3" w:rsidRDefault="00100CD3">
      <w:pPr>
        <w:jc w:val="left"/>
      </w:pPr>
    </w:p>
    <w:p w14:paraId="7AAC424E" w14:textId="77777777" w:rsidR="00100CD3" w:rsidRDefault="00000000">
      <w:pPr>
        <w:jc w:val="left"/>
        <w:rPr>
          <w:b/>
          <w:bCs/>
        </w:rPr>
      </w:pPr>
      <w:r>
        <w:rPr>
          <w:rFonts w:hint="eastAsia"/>
          <w:b/>
          <w:bCs/>
        </w:rPr>
        <w:t>3. Calibration and Numerical Methods</w:t>
      </w:r>
    </w:p>
    <w:p w14:paraId="3D789782" w14:textId="77777777" w:rsidR="00100CD3" w:rsidRDefault="00100CD3">
      <w:pPr>
        <w:jc w:val="left"/>
      </w:pPr>
    </w:p>
    <w:p w14:paraId="565922BA" w14:textId="77777777" w:rsidR="00100CD3" w:rsidRDefault="00000000">
      <w:pPr>
        <w:jc w:val="left"/>
      </w:pPr>
      <w:r>
        <w:rPr>
          <w:rFonts w:hint="eastAsia"/>
        </w:rPr>
        <w:t>3.1 Calibration</w:t>
      </w:r>
    </w:p>
    <w:p w14:paraId="349624DE" w14:textId="77777777" w:rsidR="00100CD3" w:rsidRDefault="00100CD3">
      <w:pPr>
        <w:jc w:val="left"/>
      </w:pPr>
    </w:p>
    <w:p w14:paraId="7F1136AE" w14:textId="77777777" w:rsidR="00100CD3" w:rsidRDefault="00000000">
      <w:pPr>
        <w:jc w:val="left"/>
      </w:pPr>
      <w:r>
        <w:rPr>
          <w:rFonts w:hint="eastAsia"/>
        </w:rPr>
        <w:t>We use the following calibrated parameters:</w:t>
      </w:r>
    </w:p>
    <w:p w14:paraId="526BAFD7" w14:textId="7AAC3315" w:rsidR="00100CD3" w:rsidRDefault="00000000">
      <w:pPr>
        <w:jc w:val="left"/>
      </w:pPr>
      <w:r>
        <w:rPr>
          <w:rFonts w:hint="eastAsia"/>
        </w:rPr>
        <w:t xml:space="preserve">- Discount factor: </w:t>
      </w:r>
      <w:r>
        <w:rPr>
          <w:rFonts w:hint="eastAsia"/>
        </w:rPr>
        <w:t>β</w:t>
      </w:r>
      <w:r>
        <w:rPr>
          <w:rFonts w:hint="eastAsia"/>
        </w:rPr>
        <w:t>=</w:t>
      </w:r>
      <w:r w:rsidR="007B20A3">
        <w:t xml:space="preserve"> </w:t>
      </w:r>
      <w:r>
        <w:rPr>
          <w:rFonts w:hint="eastAsia"/>
        </w:rPr>
        <w:t>0.96</w:t>
      </w:r>
    </w:p>
    <w:p w14:paraId="0845A3E6" w14:textId="3B309C7F" w:rsidR="00100CD3" w:rsidRDefault="00000000">
      <w:pPr>
        <w:jc w:val="left"/>
      </w:pPr>
      <w:r>
        <w:rPr>
          <w:rFonts w:hint="eastAsia"/>
        </w:rPr>
        <w:t xml:space="preserve">- Relative risk aversion: </w:t>
      </w:r>
      <w:r>
        <w:rPr>
          <w:rFonts w:hint="eastAsia"/>
        </w:rPr>
        <w:t>γ</w:t>
      </w:r>
      <w:r>
        <w:rPr>
          <w:rFonts w:hint="eastAsia"/>
        </w:rPr>
        <w:t>=</w:t>
      </w:r>
      <w:r w:rsidR="007B20A3">
        <w:t xml:space="preserve"> </w:t>
      </w:r>
      <w:r>
        <w:rPr>
          <w:rFonts w:hint="eastAsia"/>
        </w:rPr>
        <w:t>2</w:t>
      </w:r>
    </w:p>
    <w:p w14:paraId="72AD6B65" w14:textId="52F09551" w:rsidR="00100CD3" w:rsidRDefault="00000000">
      <w:pPr>
        <w:jc w:val="left"/>
      </w:pPr>
      <w:r>
        <w:rPr>
          <w:rFonts w:hint="eastAsia"/>
        </w:rPr>
        <w:t xml:space="preserve">- Persistence: </w:t>
      </w:r>
      <w:r>
        <w:rPr>
          <w:rFonts w:hint="eastAsia"/>
        </w:rPr>
        <w:t>ρ</w:t>
      </w:r>
      <w:r>
        <w:rPr>
          <w:rFonts w:hint="eastAsia"/>
        </w:rPr>
        <w:t>=</w:t>
      </w:r>
      <w:r w:rsidR="007B20A3">
        <w:t xml:space="preserve"> </w:t>
      </w:r>
      <w:r>
        <w:rPr>
          <w:rFonts w:hint="eastAsia"/>
        </w:rPr>
        <w:t>0.9</w:t>
      </w:r>
    </w:p>
    <w:p w14:paraId="01FDEE6B" w14:textId="729D34D1" w:rsidR="00100CD3" w:rsidRDefault="00000000">
      <w:pPr>
        <w:jc w:val="left"/>
      </w:pPr>
      <w:r>
        <w:rPr>
          <w:rFonts w:hint="eastAsia"/>
        </w:rPr>
        <w:t xml:space="preserve">- Shock volatility: </w:t>
      </w:r>
      <w:r>
        <w:rPr>
          <w:rFonts w:hint="eastAsia"/>
        </w:rPr>
        <w:t>σ</w:t>
      </w:r>
      <w:r>
        <w:rPr>
          <w:rFonts w:hint="eastAsia"/>
        </w:rPr>
        <w:t>=</w:t>
      </w:r>
      <w:r w:rsidR="007B20A3">
        <w:t xml:space="preserve"> </w:t>
      </w:r>
      <w:r>
        <w:rPr>
          <w:rFonts w:hint="eastAsia"/>
        </w:rPr>
        <w:t>0.4</w:t>
      </w:r>
    </w:p>
    <w:p w14:paraId="05B02191" w14:textId="14002173" w:rsidR="00100CD3" w:rsidRDefault="00000000">
      <w:pPr>
        <w:jc w:val="left"/>
      </w:pPr>
      <w:r>
        <w:rPr>
          <w:rFonts w:hint="eastAsia"/>
        </w:rPr>
        <w:t xml:space="preserve">- Capital share: </w:t>
      </w:r>
      <w:bookmarkStart w:id="0" w:name="OLE_LINK1"/>
      <w:r>
        <w:rPr>
          <w:rFonts w:hint="eastAsia"/>
        </w:rPr>
        <w:t>α</w:t>
      </w:r>
      <w:bookmarkEnd w:id="0"/>
      <w:r>
        <w:rPr>
          <w:rFonts w:hint="eastAsia"/>
        </w:rPr>
        <w:t>=</w:t>
      </w:r>
      <w:r w:rsidR="007B20A3">
        <w:t xml:space="preserve"> </w:t>
      </w:r>
      <w:r>
        <w:rPr>
          <w:rFonts w:hint="eastAsia"/>
        </w:rPr>
        <w:t>0.52</w:t>
      </w:r>
    </w:p>
    <w:p w14:paraId="51046EF9" w14:textId="6410056D" w:rsidR="00100CD3" w:rsidRDefault="00000000">
      <w:pPr>
        <w:jc w:val="left"/>
      </w:pPr>
      <w:r>
        <w:rPr>
          <w:rFonts w:hint="eastAsia"/>
        </w:rPr>
        <w:t xml:space="preserve">- Depreciation rate: </w:t>
      </w:r>
      <w:r>
        <w:rPr>
          <w:rFonts w:hint="eastAsia"/>
        </w:rPr>
        <w:t>δ</w:t>
      </w:r>
      <w:r>
        <w:rPr>
          <w:rFonts w:hint="eastAsia"/>
        </w:rPr>
        <w:t>=</w:t>
      </w:r>
      <w:r w:rsidR="007B20A3">
        <w:t xml:space="preserve"> </w:t>
      </w:r>
      <w:r>
        <w:rPr>
          <w:rFonts w:hint="eastAsia"/>
        </w:rPr>
        <w:t>0.1</w:t>
      </w:r>
    </w:p>
    <w:p w14:paraId="3222393E" w14:textId="6DAB042B" w:rsidR="00100CD3" w:rsidRDefault="00000000">
      <w:pPr>
        <w:jc w:val="left"/>
      </w:pPr>
      <w:r>
        <w:rPr>
          <w:rFonts w:hint="eastAsia"/>
        </w:rPr>
        <w:t xml:space="preserve">- Productivity level: </w:t>
      </w:r>
      <w:r w:rsidR="007B20A3">
        <w:t xml:space="preserve"> </w:t>
      </w:r>
      <w:r>
        <w:rPr>
          <w:rFonts w:hint="eastAsia"/>
        </w:rPr>
        <w:t>A=</w:t>
      </w:r>
      <w:r w:rsidR="007B20A3">
        <w:t xml:space="preserve"> </w:t>
      </w:r>
      <w:r>
        <w:rPr>
          <w:rFonts w:hint="eastAsia"/>
        </w:rPr>
        <w:t>1</w:t>
      </w:r>
    </w:p>
    <w:p w14:paraId="65FADC35" w14:textId="17557FAB" w:rsidR="00100CD3" w:rsidRDefault="00000000">
      <w:pPr>
        <w:jc w:val="left"/>
      </w:pPr>
      <w:r>
        <w:rPr>
          <w:rFonts w:hint="eastAsia"/>
        </w:rPr>
        <w:t>- Labor supply:</w:t>
      </w:r>
      <w:r w:rsidR="007F6ADA">
        <w:t xml:space="preserve"> </w:t>
      </w:r>
      <w:r>
        <w:rPr>
          <w:rFonts w:hint="eastAsia"/>
        </w:rPr>
        <w:t>L=1</w:t>
      </w:r>
    </w:p>
    <w:p w14:paraId="63DED18A" w14:textId="780F368A" w:rsidR="00100CD3" w:rsidRDefault="00000000">
      <w:pPr>
        <w:jc w:val="left"/>
      </w:pPr>
      <w:r>
        <w:rPr>
          <w:rFonts w:hint="eastAsia"/>
        </w:rPr>
        <w:t>For the flat tax case (</w:t>
      </w:r>
      <w:r>
        <w:rPr>
          <w:rFonts w:hint="eastAsia"/>
        </w:rPr>
        <w:t>λ</w:t>
      </w:r>
      <w:r>
        <w:rPr>
          <w:rFonts w:hint="eastAsia"/>
        </w:rPr>
        <w:t xml:space="preserve"> = 0), the target interest rate is r</w:t>
      </w:r>
      <w:r w:rsidR="007B20A3">
        <w:t xml:space="preserve"> </w:t>
      </w:r>
      <w:r>
        <w:rPr>
          <w:rFonts w:hint="eastAsia"/>
        </w:rPr>
        <w:t>=</w:t>
      </w:r>
      <w:r w:rsidR="007B20A3">
        <w:t xml:space="preserve"> </w:t>
      </w:r>
      <w:r>
        <w:rPr>
          <w:rFonts w:hint="eastAsia"/>
        </w:rPr>
        <w:t xml:space="preserve">0.04 and the government revenue-to-output ratio is 0.2, implying a flat tax rate </w:t>
      </w:r>
      <w:r>
        <w:rPr>
          <w:rFonts w:hint="eastAsia"/>
        </w:rPr>
        <w:t>τ</w:t>
      </w:r>
      <w:r>
        <w:t>_flat</w:t>
      </w:r>
      <w:r w:rsidR="007B20A3">
        <w:t xml:space="preserve"> </w:t>
      </w:r>
      <w:r>
        <w:rPr>
          <w:rFonts w:hint="eastAsia"/>
        </w:rPr>
        <w:t>= 0.2 Y where Y</w:t>
      </w:r>
      <w:r w:rsidR="007B20A3">
        <w:t xml:space="preserve"> </w:t>
      </w:r>
      <w:r>
        <w:rPr>
          <w:rFonts w:hint="eastAsia"/>
        </w:rPr>
        <w:t>=</w:t>
      </w:r>
      <w:r w:rsidR="007B20A3">
        <w:t xml:space="preserve"> </w:t>
      </w:r>
      <w:r>
        <w:rPr>
          <w:rFonts w:hint="eastAsia"/>
        </w:rPr>
        <w:t>A K^</w:t>
      </w:r>
      <w:r>
        <w:rPr>
          <w:rFonts w:hint="eastAsia"/>
        </w:rPr>
        <w:t>α</w:t>
      </w:r>
    </w:p>
    <w:p w14:paraId="761997BC" w14:textId="77777777" w:rsidR="00100CD3" w:rsidRDefault="00100CD3">
      <w:pPr>
        <w:jc w:val="left"/>
      </w:pPr>
    </w:p>
    <w:p w14:paraId="4EDF0A1F" w14:textId="77777777" w:rsidR="00100CD3" w:rsidRDefault="00000000">
      <w:pPr>
        <w:jc w:val="left"/>
      </w:pPr>
      <w:r>
        <w:rPr>
          <w:rFonts w:hint="eastAsia"/>
        </w:rPr>
        <w:t>3.2 Numerical Methods</w:t>
      </w:r>
    </w:p>
    <w:p w14:paraId="5D9426A5" w14:textId="77777777" w:rsidR="00100CD3" w:rsidRDefault="00100CD3">
      <w:pPr>
        <w:jc w:val="left"/>
      </w:pPr>
    </w:p>
    <w:p w14:paraId="179B6A8D" w14:textId="77777777" w:rsidR="00100CD3" w:rsidRDefault="00000000">
      <w:pPr>
        <w:jc w:val="left"/>
      </w:pPr>
      <w:r>
        <w:rPr>
          <w:rFonts w:hint="eastAsia"/>
        </w:rPr>
        <w:t>We solve the household problem using value function iteration over a non-uniform asset grid (150 points, with a grid concentrated at low asset levels). The Bellman operator is iterated until convergence, and the optimal policy function is extracted. The transition matrix is constructed based on the policy function and the productivity Markov transition matrix; its dominant eigenvector yields the stationary distribution. Using the steady state, we compute aggregate asset demand and compare it with the firm's capital supply. The Gini coefficients for both asset holdings and after-tax labor income are calculated by evaluating pairwise differences weighted by the stationary distribution.</w:t>
      </w:r>
    </w:p>
    <w:p w14:paraId="40535833" w14:textId="77777777" w:rsidR="00100CD3" w:rsidRDefault="00100CD3">
      <w:pPr>
        <w:jc w:val="left"/>
      </w:pPr>
    </w:p>
    <w:p w14:paraId="586B601D" w14:textId="77777777" w:rsidR="00100CD3" w:rsidRDefault="00000000">
      <w:pPr>
        <w:jc w:val="left"/>
      </w:pPr>
      <w:r>
        <w:rPr>
          <w:rFonts w:hint="eastAsia"/>
        </w:rPr>
        <w:t xml:space="preserve">4. </w:t>
      </w:r>
      <w:r>
        <w:rPr>
          <w:rFonts w:hint="eastAsia"/>
          <w:b/>
          <w:bCs/>
        </w:rPr>
        <w:t>Results</w:t>
      </w:r>
    </w:p>
    <w:p w14:paraId="2A530C3B" w14:textId="77777777" w:rsidR="00100CD3" w:rsidRDefault="00100CD3">
      <w:pPr>
        <w:jc w:val="left"/>
      </w:pPr>
    </w:p>
    <w:p w14:paraId="4F090927" w14:textId="77777777" w:rsidR="00100CD3" w:rsidRDefault="00000000">
      <w:pPr>
        <w:jc w:val="left"/>
      </w:pPr>
      <w:r>
        <w:rPr>
          <w:rFonts w:hint="eastAsia"/>
        </w:rPr>
        <w:t xml:space="preserve">4.1 </w:t>
      </w:r>
      <w:r>
        <w:rPr>
          <w:rFonts w:hint="eastAsia"/>
          <w:b/>
          <w:bCs/>
        </w:rPr>
        <w:t>Equilibrium</w:t>
      </w:r>
    </w:p>
    <w:p w14:paraId="28B0EF37" w14:textId="77777777" w:rsidR="00100CD3" w:rsidRDefault="00100CD3">
      <w:pPr>
        <w:jc w:val="left"/>
      </w:pPr>
    </w:p>
    <w:p w14:paraId="26D5E6DA" w14:textId="77777777" w:rsidR="00100CD3" w:rsidRDefault="00000000">
      <w:pPr>
        <w:jc w:val="left"/>
      </w:pPr>
      <w:r>
        <w:rPr>
          <w:rFonts w:hint="eastAsia"/>
        </w:rPr>
        <w:t>For the flat tax regime (</w:t>
      </w:r>
      <w:r>
        <w:rPr>
          <w:rFonts w:hint="eastAsia"/>
        </w:rPr>
        <w:t>λ</w:t>
      </w:r>
      <w:r>
        <w:rPr>
          <w:rFonts w:hint="eastAsia"/>
        </w:rPr>
        <w:t xml:space="preserve"> = 0), our calibration yields:</w:t>
      </w:r>
    </w:p>
    <w:p w14:paraId="7705F2D0" w14:textId="77777777" w:rsidR="00100CD3" w:rsidRDefault="00000000">
      <w:pPr>
        <w:jc w:val="left"/>
      </w:pPr>
      <w:r>
        <w:rPr>
          <w:rFonts w:hint="eastAsia"/>
        </w:rPr>
        <w:t>- Equilibrium interest rate r=0.04</w:t>
      </w:r>
      <w:r>
        <w:t xml:space="preserve"> </w:t>
      </w:r>
      <w:r>
        <w:rPr>
          <w:rFonts w:hint="eastAsia"/>
        </w:rPr>
        <w:t>(by construction)</w:t>
      </w:r>
    </w:p>
    <w:p w14:paraId="3A41098D" w14:textId="77777777" w:rsidR="00100CD3" w:rsidRDefault="00000000">
      <w:pPr>
        <w:jc w:val="left"/>
      </w:pPr>
      <w:r>
        <w:rPr>
          <w:rFonts w:hint="eastAsia"/>
        </w:rPr>
        <w:t xml:space="preserve">- Firm capital </w:t>
      </w:r>
      <w:proofErr w:type="spellStart"/>
      <w:r>
        <w:rPr>
          <w:rFonts w:hint="eastAsia"/>
        </w:rPr>
        <w:t>K_target</w:t>
      </w:r>
      <w:proofErr w:type="spellEnd"/>
      <w:r>
        <w:rPr>
          <w:rFonts w:hint="eastAsia"/>
        </w:rPr>
        <w:t xml:space="preserve"> and wage w with w</w:t>
      </w:r>
      <w:r>
        <w:t xml:space="preserve"> </w:t>
      </w:r>
      <w:r>
        <w:rPr>
          <w:rFonts w:hint="eastAsia"/>
        </w:rPr>
        <w:t>normalized to 1</w:t>
      </w:r>
    </w:p>
    <w:p w14:paraId="6C1846F4" w14:textId="77777777" w:rsidR="00100CD3" w:rsidRDefault="00000000">
      <w:pPr>
        <w:jc w:val="left"/>
      </w:pPr>
      <w:r>
        <w:rPr>
          <w:rFonts w:hint="eastAsia"/>
        </w:rPr>
        <w:t>- A flat tax rate</w:t>
      </w:r>
      <w:r>
        <w:rPr>
          <w:rFonts w:hint="eastAsia"/>
        </w:rPr>
        <w:t>τ</w:t>
      </w:r>
      <w:r>
        <w:rPr>
          <w:rFonts w:hint="eastAsia"/>
        </w:rPr>
        <w:t>_flat determined by G/Y=0.2.</w:t>
      </w:r>
    </w:p>
    <w:p w14:paraId="7A66EB95" w14:textId="77777777" w:rsidR="00100CD3" w:rsidRDefault="00100CD3">
      <w:pPr>
        <w:jc w:val="left"/>
      </w:pPr>
    </w:p>
    <w:p w14:paraId="5968B760" w14:textId="0032D9F3" w:rsidR="00100CD3" w:rsidRDefault="00000000">
      <w:pPr>
        <w:jc w:val="left"/>
      </w:pPr>
      <w:r>
        <w:rPr>
          <w:rFonts w:hint="eastAsia"/>
        </w:rPr>
        <w:t>For the progressive tax regime (</w:t>
      </w:r>
      <w:r>
        <w:rPr>
          <w:rFonts w:hint="eastAsia"/>
        </w:rPr>
        <w:t>λ</w:t>
      </w:r>
      <w:r>
        <w:rPr>
          <w:rFonts w:hint="eastAsia"/>
        </w:rPr>
        <w:t xml:space="preserve"> = 0.15)</w:t>
      </w:r>
      <w:r w:rsidR="007B20A3">
        <w:t xml:space="preserve"> </w:t>
      </w:r>
      <w:r>
        <w:rPr>
          <w:rFonts w:hint="eastAsia"/>
        </w:rPr>
        <w:t>,</w:t>
      </w:r>
      <w:r w:rsidR="007B20A3">
        <w:t xml:space="preserve"> </w:t>
      </w:r>
      <w:r>
        <w:rPr>
          <w:rFonts w:hint="eastAsia"/>
        </w:rPr>
        <w:t xml:space="preserve">the tax rate </w:t>
      </w:r>
      <w:r>
        <w:rPr>
          <w:rFonts w:hint="eastAsia"/>
        </w:rPr>
        <w:t>τ</w:t>
      </w:r>
      <w:r>
        <w:t>_</w:t>
      </w:r>
      <w:r>
        <w:rPr>
          <w:rFonts w:hint="eastAsia"/>
        </w:rPr>
        <w:t>prog is chosen to equate government revenue with the flat tax case. The equilibrium is solved analogously. Key equilibrium statistics include the aggregate asset holdings (which clear the asset market), the capital-to-output ratio, and residuals in the asset market.</w:t>
      </w:r>
    </w:p>
    <w:p w14:paraId="214FCEA5" w14:textId="77777777" w:rsidR="00100CD3" w:rsidRDefault="00100CD3">
      <w:pPr>
        <w:jc w:val="left"/>
      </w:pPr>
    </w:p>
    <w:p w14:paraId="0DB75195" w14:textId="77777777" w:rsidR="00100CD3" w:rsidRDefault="00000000">
      <w:pPr>
        <w:jc w:val="left"/>
      </w:pPr>
      <w:r>
        <w:rPr>
          <w:rFonts w:hint="eastAsia"/>
        </w:rPr>
        <w:lastRenderedPageBreak/>
        <w:t>4.2 Distribution and Inequality</w:t>
      </w:r>
    </w:p>
    <w:p w14:paraId="4CC1791A" w14:textId="77777777" w:rsidR="00100CD3" w:rsidRDefault="00100CD3">
      <w:pPr>
        <w:jc w:val="left"/>
      </w:pPr>
    </w:p>
    <w:p w14:paraId="354FA839" w14:textId="321F6FA6" w:rsidR="00100CD3" w:rsidRDefault="00000000">
      <w:pPr>
        <w:jc w:val="left"/>
      </w:pPr>
      <w:r>
        <w:rPr>
          <w:rFonts w:hint="eastAsia"/>
        </w:rPr>
        <w:t>Using the computed stationary distributions, we obtain:</w:t>
      </w:r>
    </w:p>
    <w:p w14:paraId="4BF55B03" w14:textId="77777777" w:rsidR="00100CD3" w:rsidRDefault="00000000">
      <w:pPr>
        <w:jc w:val="left"/>
      </w:pPr>
      <w:r>
        <w:rPr>
          <w:rFonts w:hint="eastAsia"/>
        </w:rPr>
        <w:t>- The marginal distribution of assets.</w:t>
      </w:r>
    </w:p>
    <w:p w14:paraId="1EB166CC" w14:textId="77777777" w:rsidR="00100CD3" w:rsidRDefault="00000000">
      <w:pPr>
        <w:jc w:val="left"/>
      </w:pPr>
      <w:r>
        <w:rPr>
          <w:rFonts w:hint="eastAsia"/>
        </w:rPr>
        <w:t>- Lorenz curves for assets, which graphically illustrate the inequality in asset holdings.</w:t>
      </w:r>
    </w:p>
    <w:p w14:paraId="16C15862" w14:textId="77777777" w:rsidR="00100CD3" w:rsidRDefault="00000000">
      <w:pPr>
        <w:jc w:val="left"/>
      </w:pPr>
      <w:r>
        <w:rPr>
          <w:rFonts w:hint="eastAsia"/>
        </w:rPr>
        <w:t>- Gini coefficients computed from the stationary distributions:</w:t>
      </w:r>
    </w:p>
    <w:p w14:paraId="12686AE4" w14:textId="77777777" w:rsidR="00100CD3" w:rsidRDefault="00000000">
      <w:pPr>
        <w:jc w:val="left"/>
      </w:pPr>
      <w:r>
        <w:rPr>
          <w:rFonts w:hint="eastAsia"/>
        </w:rPr>
        <w:t xml:space="preserve">  - For assets: </w:t>
      </w:r>
    </w:p>
    <w:p w14:paraId="36F4826F" w14:textId="77777777" w:rsidR="007F6ADA" w:rsidRDefault="007F6ADA">
      <w:pPr>
        <w:jc w:val="left"/>
      </w:pPr>
    </w:p>
    <w:p w14:paraId="4AD964A6" w14:textId="77777777" w:rsidR="00100CD3" w:rsidRDefault="00000000">
      <w:pPr>
        <w:jc w:val="center"/>
      </w:pPr>
      <w:r>
        <w:rPr>
          <w:noProof/>
        </w:rPr>
        <w:drawing>
          <wp:inline distT="0" distB="0" distL="114300" distR="114300" wp14:anchorId="7217E40C" wp14:editId="199487EA">
            <wp:extent cx="1828800" cy="352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828800" cy="352425"/>
                    </a:xfrm>
                    <a:prstGeom prst="rect">
                      <a:avLst/>
                    </a:prstGeom>
                    <a:noFill/>
                    <a:ln>
                      <a:noFill/>
                    </a:ln>
                  </pic:spPr>
                </pic:pic>
              </a:graphicData>
            </a:graphic>
          </wp:inline>
        </w:drawing>
      </w:r>
    </w:p>
    <w:p w14:paraId="7C19E6F4" w14:textId="77777777" w:rsidR="007F6ADA" w:rsidRDefault="007F6ADA">
      <w:pPr>
        <w:jc w:val="center"/>
      </w:pPr>
    </w:p>
    <w:p w14:paraId="72C0BDC6" w14:textId="48297F30" w:rsidR="00100CD3" w:rsidRDefault="00000000">
      <w:pPr>
        <w:jc w:val="left"/>
      </w:pPr>
      <w:r>
        <w:rPr>
          <w:rFonts w:hint="eastAsia"/>
        </w:rPr>
        <w:t xml:space="preserve">  - For after-tax labor income using post-tax income </w:t>
      </w:r>
      <w:r>
        <w:t>(</w:t>
      </w:r>
      <w:r>
        <w:rPr>
          <w:rFonts w:hint="eastAsia"/>
        </w:rPr>
        <w:t>1-</w:t>
      </w:r>
      <w:r>
        <w:rPr>
          <w:rFonts w:hint="eastAsia"/>
        </w:rPr>
        <w:t>τ</w:t>
      </w:r>
      <w:r>
        <w:t>)</w:t>
      </w:r>
      <w:r>
        <w:rPr>
          <w:rFonts w:hint="eastAsia"/>
        </w:rPr>
        <w:t>y^</w:t>
      </w:r>
      <w:r>
        <w:t>(</w:t>
      </w:r>
      <w:r>
        <w:rPr>
          <w:rFonts w:hint="eastAsia"/>
        </w:rPr>
        <w:t>1-</w:t>
      </w:r>
      <w:r>
        <w:rPr>
          <w:rFonts w:hint="eastAsia"/>
        </w:rPr>
        <w:t>λ</w:t>
      </w:r>
      <w:r>
        <w:t>):</w:t>
      </w:r>
    </w:p>
    <w:p w14:paraId="00927791" w14:textId="77777777" w:rsidR="007F6ADA" w:rsidRDefault="007F6ADA">
      <w:pPr>
        <w:jc w:val="left"/>
      </w:pPr>
    </w:p>
    <w:p w14:paraId="673D38E2" w14:textId="77777777" w:rsidR="00100CD3" w:rsidRDefault="00000000">
      <w:pPr>
        <w:jc w:val="center"/>
      </w:pPr>
      <w:r>
        <w:rPr>
          <w:noProof/>
        </w:rPr>
        <w:drawing>
          <wp:inline distT="0" distB="0" distL="114300" distR="114300" wp14:anchorId="722ED088" wp14:editId="0902D7E9">
            <wp:extent cx="1914525" cy="342900"/>
            <wp:effectExtent l="0" t="0" r="1587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914525" cy="342900"/>
                    </a:xfrm>
                    <a:prstGeom prst="rect">
                      <a:avLst/>
                    </a:prstGeom>
                    <a:noFill/>
                    <a:ln>
                      <a:noFill/>
                    </a:ln>
                  </pic:spPr>
                </pic:pic>
              </a:graphicData>
            </a:graphic>
          </wp:inline>
        </w:drawing>
      </w:r>
    </w:p>
    <w:p w14:paraId="32BC1BC8" w14:textId="77777777" w:rsidR="00100CD3" w:rsidRDefault="00100CD3">
      <w:pPr>
        <w:jc w:val="left"/>
      </w:pPr>
    </w:p>
    <w:p w14:paraId="75828DC9" w14:textId="77777777" w:rsidR="00100CD3" w:rsidRDefault="00000000">
      <w:pPr>
        <w:jc w:val="left"/>
      </w:pPr>
      <w:r>
        <w:rPr>
          <w:rFonts w:hint="eastAsia"/>
        </w:rPr>
        <w:t>4.3 Graphical Results</w:t>
      </w:r>
    </w:p>
    <w:p w14:paraId="2C8658D3" w14:textId="77777777" w:rsidR="00100CD3" w:rsidRDefault="00100CD3">
      <w:pPr>
        <w:jc w:val="left"/>
      </w:pPr>
    </w:p>
    <w:p w14:paraId="390A536C" w14:textId="77777777" w:rsidR="00100CD3" w:rsidRDefault="00000000">
      <w:pPr>
        <w:jc w:val="left"/>
      </w:pPr>
      <w:r>
        <w:rPr>
          <w:rFonts w:hint="eastAsia"/>
        </w:rPr>
        <w:t>The following plots are generated:</w:t>
      </w:r>
    </w:p>
    <w:p w14:paraId="5C2F159F" w14:textId="4021A7FB" w:rsidR="00100CD3" w:rsidRDefault="00000000" w:rsidP="007F6ADA">
      <w:pPr>
        <w:jc w:val="left"/>
      </w:pPr>
      <w:r>
        <w:rPr>
          <w:rFonts w:hint="eastAsia"/>
        </w:rPr>
        <w:t xml:space="preserve">Value </w:t>
      </w:r>
      <w:proofErr w:type="gramStart"/>
      <w:r>
        <w:rPr>
          <w:rFonts w:hint="eastAsia"/>
        </w:rPr>
        <w:t>Function</w:t>
      </w:r>
      <w:r w:rsidR="007B20A3">
        <w:t xml:space="preserve"> </w:t>
      </w:r>
      <w:r>
        <w:rPr>
          <w:rFonts w:hint="eastAsia"/>
        </w:rPr>
        <w:t>:</w:t>
      </w:r>
      <w:proofErr w:type="gramEnd"/>
      <w:r w:rsidR="007B20A3">
        <w:t xml:space="preserve">  </w:t>
      </w:r>
      <w:r>
        <w:rPr>
          <w:rFonts w:hint="eastAsia"/>
        </w:rPr>
        <w:t>For each productivity state, the value function is plotted, showing the effect of tax regime on household optimization.</w:t>
      </w:r>
    </w:p>
    <w:p w14:paraId="155D683B" w14:textId="77777777" w:rsidR="00100CD3" w:rsidRDefault="00000000">
      <w:pPr>
        <w:jc w:val="left"/>
      </w:pPr>
      <w:r>
        <w:rPr>
          <w:rFonts w:hint="eastAsia"/>
        </w:rPr>
        <w:t>Policy Functions: Optimal asset choices (next-period assets as a function of current assets) are plotted, with a 45</w:t>
      </w:r>
      <w:r>
        <w:rPr>
          <w:rFonts w:hint="eastAsia"/>
        </w:rPr>
        <w:t>°</w:t>
      </w:r>
      <w:r>
        <w:rPr>
          <w:rFonts w:hint="eastAsia"/>
        </w:rPr>
        <w:t xml:space="preserve"> reference line for comparison.</w:t>
      </w:r>
    </w:p>
    <w:p w14:paraId="3B744F63" w14:textId="77777777" w:rsidR="00100CD3" w:rsidRDefault="00000000" w:rsidP="007F6ADA">
      <w:pPr>
        <w:jc w:val="left"/>
      </w:pPr>
      <w:r>
        <w:rPr>
          <w:rFonts w:hint="eastAsia"/>
        </w:rPr>
        <w:t>Asset Distribution: The marginal density of assets is plotted, illustrating how households accumulate assets under each tax regime.</w:t>
      </w:r>
    </w:p>
    <w:p w14:paraId="78166C64" w14:textId="13B953F8" w:rsidR="00100CD3" w:rsidRDefault="00000000">
      <w:pPr>
        <w:jc w:val="left"/>
      </w:pPr>
      <w:r>
        <w:rPr>
          <w:rFonts w:hint="eastAsia"/>
        </w:rPr>
        <w:t>Lorenz Curves</w:t>
      </w:r>
      <w:r w:rsidR="007B20A3">
        <w:t xml:space="preserve"> </w:t>
      </w:r>
      <w:r>
        <w:rPr>
          <w:rFonts w:hint="eastAsia"/>
        </w:rPr>
        <w:t>:</w:t>
      </w:r>
      <w:r w:rsidR="007B20A3">
        <w:t xml:space="preserve"> </w:t>
      </w:r>
      <w:r>
        <w:rPr>
          <w:rFonts w:hint="eastAsia"/>
        </w:rPr>
        <w:t>The cumulative distribution of assets is plotted against the cumulative share of assets, together with a 45</w:t>
      </w:r>
      <w:r>
        <w:rPr>
          <w:rFonts w:hint="eastAsia"/>
        </w:rPr>
        <w:t>°</w:t>
      </w:r>
      <w:r>
        <w:rPr>
          <w:rFonts w:hint="eastAsia"/>
        </w:rPr>
        <w:t xml:space="preserve"> line indicating perfect equality.</w:t>
      </w:r>
    </w:p>
    <w:p w14:paraId="0F4939F5" w14:textId="77777777" w:rsidR="00100CD3" w:rsidRDefault="00000000" w:rsidP="007F6ADA">
      <w:pPr>
        <w:jc w:val="left"/>
      </w:pPr>
      <w:r>
        <w:rPr>
          <w:rFonts w:hint="eastAsia"/>
        </w:rPr>
        <w:t>Gini Coefficients: Bar charts display the computed Gini coefficients for assets and after-tax income for the two regimes.</w:t>
      </w:r>
    </w:p>
    <w:p w14:paraId="074128A0" w14:textId="77777777" w:rsidR="00100CD3" w:rsidRDefault="00100CD3">
      <w:pPr>
        <w:jc w:val="left"/>
      </w:pPr>
    </w:p>
    <w:p w14:paraId="69C03393" w14:textId="47D706E4" w:rsidR="00100CD3" w:rsidRDefault="00000000" w:rsidP="007F6ADA">
      <w:pPr>
        <w:jc w:val="left"/>
      </w:pPr>
      <w:r>
        <w:rPr>
          <w:rFonts w:hint="eastAsia"/>
        </w:rPr>
        <w:t xml:space="preserve">The results indicate that the progressive tax system alters </w:t>
      </w:r>
      <w:proofErr w:type="gramStart"/>
      <w:r>
        <w:rPr>
          <w:rFonts w:hint="eastAsia"/>
        </w:rPr>
        <w:t>households</w:t>
      </w:r>
      <w:proofErr w:type="gramEnd"/>
      <w:r w:rsidR="007B20A3">
        <w:t xml:space="preserve"> </w:t>
      </w:r>
      <w:r>
        <w:rPr>
          <w:rFonts w:hint="eastAsia"/>
        </w:rPr>
        <w:t>savings behavior and typically leads to different inequality outcomes compared to the flat tax regime.</w:t>
      </w:r>
    </w:p>
    <w:p w14:paraId="0D878A1D" w14:textId="77777777" w:rsidR="00100CD3" w:rsidRPr="007B20A3" w:rsidRDefault="00100CD3">
      <w:pPr>
        <w:jc w:val="left"/>
      </w:pPr>
    </w:p>
    <w:p w14:paraId="23CA29BE" w14:textId="77777777" w:rsidR="00100CD3" w:rsidRDefault="00000000">
      <w:pPr>
        <w:jc w:val="left"/>
        <w:rPr>
          <w:b/>
          <w:bCs/>
        </w:rPr>
      </w:pPr>
      <w:r>
        <w:rPr>
          <w:rFonts w:hint="eastAsia"/>
          <w:b/>
          <w:bCs/>
        </w:rPr>
        <w:t>5. Conclusion</w:t>
      </w:r>
    </w:p>
    <w:p w14:paraId="1DB02223" w14:textId="77777777" w:rsidR="00100CD3" w:rsidRDefault="00100CD3">
      <w:pPr>
        <w:jc w:val="left"/>
      </w:pPr>
    </w:p>
    <w:p w14:paraId="091A5077" w14:textId="77777777" w:rsidR="00100CD3" w:rsidRDefault="00000000">
      <w:pPr>
        <w:jc w:val="left"/>
      </w:pPr>
      <w:r>
        <w:rPr>
          <w:rFonts w:hint="eastAsia"/>
        </w:rPr>
        <w:t>This paper analyzes the effects of increasing labor tax progressivity in a heterogeneous agent model. By calibrating the model to match key equilibrium conditions (r = 0.04, w = 1, and G/Y = 0.2) under a flat tax regime and then adjusting the tax rate under a progressive tax regime (</w:t>
      </w:r>
      <w:r>
        <w:rPr>
          <w:rFonts w:hint="eastAsia"/>
        </w:rPr>
        <w:t>λ</w:t>
      </w:r>
      <w:r>
        <w:rPr>
          <w:rFonts w:hint="eastAsia"/>
        </w:rPr>
        <w:t xml:space="preserve"> = 0.15) to maintain government revenue, we find that tax progressivity affects both the equilibrium interest rate and the distribution of assets and after-tax incomes. Our numerical results </w:t>
      </w:r>
      <w:r>
        <w:rPr>
          <w:rFonts w:hint="eastAsia"/>
        </w:rPr>
        <w:t>–</w:t>
      </w:r>
      <w:r>
        <w:rPr>
          <w:rFonts w:hint="eastAsia"/>
        </w:rPr>
        <w:t xml:space="preserve"> including value functions, policy functions, asset distributions, Lorenz curves, and Gini coefficients </w:t>
      </w:r>
      <w:r>
        <w:rPr>
          <w:rFonts w:hint="eastAsia"/>
        </w:rPr>
        <w:t>–</w:t>
      </w:r>
      <w:r>
        <w:rPr>
          <w:rFonts w:hint="eastAsia"/>
        </w:rPr>
        <w:t xml:space="preserve"> illustrate that progressive taxation can modify incentives for savings </w:t>
      </w:r>
      <w:r>
        <w:rPr>
          <w:rFonts w:hint="eastAsia"/>
        </w:rPr>
        <w:lastRenderedPageBreak/>
        <w:t xml:space="preserve">and, consequently, affect overall inequality. </w:t>
      </w:r>
    </w:p>
    <w:p w14:paraId="518D9E1A" w14:textId="77777777" w:rsidR="00100CD3" w:rsidRDefault="00100CD3">
      <w:pPr>
        <w:jc w:val="left"/>
      </w:pPr>
    </w:p>
    <w:p w14:paraId="40F7201D" w14:textId="77777777" w:rsidR="00100CD3" w:rsidRDefault="00000000">
      <w:pPr>
        <w:jc w:val="left"/>
      </w:pPr>
      <w:r>
        <w:rPr>
          <w:rFonts w:hint="eastAsia"/>
        </w:rPr>
        <w:t>Future research may extend the analysis by incorporating additional frictions or by exploring alternative calibration targets. The numerical methods used here provide a robust framework for studying policy reforms in heterogeneous agent settings.</w:t>
      </w:r>
    </w:p>
    <w:p w14:paraId="6397DC1D" w14:textId="77777777" w:rsidR="00100CD3" w:rsidRDefault="00100CD3">
      <w:pPr>
        <w:jc w:val="left"/>
      </w:pPr>
    </w:p>
    <w:p w14:paraId="53E42DBC" w14:textId="77777777" w:rsidR="00100CD3" w:rsidRDefault="00100CD3">
      <w:pPr>
        <w:jc w:val="left"/>
      </w:pPr>
    </w:p>
    <w:p w14:paraId="73BB6008" w14:textId="77777777" w:rsidR="00100CD3" w:rsidRDefault="00100CD3">
      <w:pPr>
        <w:jc w:val="left"/>
      </w:pPr>
    </w:p>
    <w:p w14:paraId="766011D5" w14:textId="77777777" w:rsidR="00100CD3" w:rsidRDefault="00100CD3"/>
    <w:p w14:paraId="5E990D0A" w14:textId="53945161" w:rsidR="00100CD3" w:rsidRDefault="00100CD3"/>
    <w:p w14:paraId="1A45A751" w14:textId="77777777" w:rsidR="000C4739" w:rsidRDefault="000C4739" w:rsidP="000C4739">
      <w:pPr>
        <w:tabs>
          <w:tab w:val="left" w:pos="1569"/>
        </w:tabs>
      </w:pPr>
      <w:r>
        <w:t xml:space="preserve">Data source: </w:t>
      </w:r>
    </w:p>
    <w:p w14:paraId="16A71664" w14:textId="7AF46274" w:rsidR="000C4739" w:rsidRDefault="000C4739" w:rsidP="000C4739">
      <w:pPr>
        <w:pStyle w:val="a3"/>
        <w:numPr>
          <w:ilvl w:val="0"/>
          <w:numId w:val="2"/>
        </w:numPr>
        <w:tabs>
          <w:tab w:val="left" w:pos="1569"/>
        </w:tabs>
        <w:ind w:firstLineChars="0"/>
        <w:rPr>
          <w:rFonts w:hint="eastAsia"/>
        </w:rPr>
      </w:pPr>
      <w:r>
        <w:t>penn world table</w:t>
      </w:r>
    </w:p>
    <w:p w14:paraId="309631CB" w14:textId="77777777" w:rsidR="00100CD3" w:rsidRDefault="00100CD3"/>
    <w:sectPr w:rsidR="00100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jaVu Math TeX Gyre">
    <w:altName w:val="Calibri"/>
    <w:panose1 w:val="020B0604020202020204"/>
    <w:charset w:val="00"/>
    <w:family w:val="auto"/>
    <w:pitch w:val="default"/>
    <w:sig w:usb0="A10000EF" w:usb1="4201F9EE" w:usb2="02000000" w:usb3="00000000" w:csb0="60000193" w:csb1="0DD4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FBBB8DD"/>
    <w:multiLevelType w:val="multilevel"/>
    <w:tmpl w:val="9FBBB8D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4DD93EB8"/>
    <w:multiLevelType w:val="hybridMultilevel"/>
    <w:tmpl w:val="70FE1FC6"/>
    <w:lvl w:ilvl="0" w:tplc="7122A0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9810856">
    <w:abstractNumId w:val="0"/>
  </w:num>
  <w:num w:numId="2" w16cid:durableId="70445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CF5718"/>
    <w:rsid w:val="000C4739"/>
    <w:rsid w:val="00100CD3"/>
    <w:rsid w:val="007B20A3"/>
    <w:rsid w:val="007F6ADA"/>
    <w:rsid w:val="00BF37B9"/>
    <w:rsid w:val="1DFD9270"/>
    <w:rsid w:val="4EC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0C37D"/>
  <w15:docId w15:val="{5AC2207D-2528-1646-92B4-16871617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0C47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a8316</cp:lastModifiedBy>
  <cp:revision>3</cp:revision>
  <dcterms:created xsi:type="dcterms:W3CDTF">2025-02-28T04:21:00Z</dcterms:created>
  <dcterms:modified xsi:type="dcterms:W3CDTF">2025-02-28T21:45:00Z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7F9BE79CC34CE585AF2BC16728A68D1A_41</vt:lpwstr>
  </property>
</Properties>
</file>