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1847" w14:textId="16B85352" w:rsidR="00B73B92" w:rsidRPr="007715B2" w:rsidRDefault="00000000">
      <w:pPr>
        <w:spacing w:after="80"/>
        <w:jc w:val="center"/>
        <w:rPr>
          <w:rFonts w:hint="eastAsia"/>
        </w:rPr>
      </w:pPr>
      <w:r>
        <w:rPr>
          <w:rFonts w:eastAsia="Arial"/>
          <w:b/>
          <w:bCs/>
          <w:sz w:val="36"/>
          <w:szCs w:val="36"/>
        </w:rPr>
        <w:t>EDA &amp; Preprocessing Repor</w:t>
      </w:r>
      <w:r w:rsidR="007715B2">
        <w:rPr>
          <w:rFonts w:hint="eastAsia"/>
          <w:b/>
          <w:bCs/>
          <w:sz w:val="36"/>
          <w:szCs w:val="36"/>
        </w:rPr>
        <w:t>t</w:t>
      </w:r>
    </w:p>
    <w:p w14:paraId="13ABFE1D" w14:textId="77777777" w:rsidR="00B73B92" w:rsidRDefault="00000000">
      <w:pPr>
        <w:spacing w:after="240"/>
        <w:jc w:val="center"/>
      </w:pPr>
      <w:r>
        <w:rPr>
          <w:rFonts w:eastAsia="Arial"/>
        </w:rPr>
        <w:t>Dataset: Electric Vehicle Population Data  |  Team 5  |  2026</w:t>
      </w:r>
    </w:p>
    <w:p w14:paraId="4840595B" w14:textId="77777777" w:rsidR="00B73B92" w:rsidRDefault="00000000">
      <w:pPr>
        <w:pStyle w:val="1"/>
      </w:pPr>
      <w:r>
        <w:t>1. Dataset Overview</w:t>
      </w:r>
    </w:p>
    <w:p w14:paraId="67B0CD96" w14:textId="77777777" w:rsidR="00B73B92" w:rsidRDefault="00000000">
      <w:pPr>
        <w:spacing w:before="60" w:after="60"/>
      </w:pPr>
      <w:r>
        <w:rPr>
          <w:rFonts w:eastAsia="Arial"/>
        </w:rPr>
        <w:t>Source: Washington State Department of Licensing — Electric Vehicle Population Data</w:t>
      </w:r>
    </w:p>
    <w:p w14:paraId="04CBEDA1" w14:textId="77777777" w:rsidR="00B73B92" w:rsidRDefault="00B73B92">
      <w:pPr>
        <w:spacing w:before="60" w:after="60"/>
      </w:pPr>
    </w:p>
    <w:p w14:paraId="1E67EFD0" w14:textId="77777777" w:rsidR="00B73B9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Total rows: 279,780</w:t>
      </w:r>
    </w:p>
    <w:p w14:paraId="1467CC7E" w14:textId="77777777" w:rsidR="00B73B9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Total columns: 16</w:t>
      </w:r>
    </w:p>
    <w:p w14:paraId="6D1CADA6" w14:textId="77777777" w:rsidR="00B73B9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Key numeric variables: Model Year, Electric Range, Legislative District</w:t>
      </w:r>
    </w:p>
    <w:p w14:paraId="003EBC22" w14:textId="77777777" w:rsidR="00B73B9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Key categorical variables: Make, Electric Vehicle Type, CAFV Eligibility, State</w:t>
      </w:r>
    </w:p>
    <w:p w14:paraId="01C41D87" w14:textId="77777777" w:rsidR="00B73B92" w:rsidRDefault="00B73B92">
      <w:pPr>
        <w:spacing w:before="60" w:after="60"/>
      </w:pPr>
    </w:p>
    <w:p w14:paraId="5BAD67DC" w14:textId="77777777" w:rsidR="00B73B92" w:rsidRDefault="00000000">
      <w:pPr>
        <w:pStyle w:val="1"/>
      </w:pPr>
      <w:r>
        <w:t>2. Exploratory Data Analysis (EDA)</w:t>
      </w:r>
    </w:p>
    <w:p w14:paraId="26764465" w14:textId="77777777" w:rsidR="00B73B92" w:rsidRDefault="00000000">
      <w:pPr>
        <w:spacing w:before="60" w:after="60"/>
      </w:pPr>
      <w:r>
        <w:rPr>
          <w:rFonts w:eastAsia="Arial"/>
        </w:rPr>
        <w:t>EDA is the process of exploring and understanding the dataset before modeling. It includes checking data distributions, missing values, outliers, and relationships between variables — primarily through statistics and visualizations.</w:t>
      </w:r>
    </w:p>
    <w:p w14:paraId="222A964F" w14:textId="77777777" w:rsidR="00B73B92" w:rsidRDefault="00B73B92">
      <w:pPr>
        <w:spacing w:before="60" w:after="60"/>
      </w:pPr>
    </w:p>
    <w:p w14:paraId="56D51057" w14:textId="77777777" w:rsidR="00B73B92" w:rsidRDefault="00000000">
      <w:pPr>
        <w:pStyle w:val="2"/>
      </w:pPr>
      <w:r>
        <w:t>2-1. Missing Values (Figure 1)</w:t>
      </w:r>
    </w:p>
    <w:p w14:paraId="46E0C9EC" w14:textId="77777777" w:rsidR="00B73B92" w:rsidRDefault="00B73B9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73B92" w14:paraId="6125C9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474A" w14:textId="77777777" w:rsidR="00B73B92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B295" w14:textId="77777777" w:rsidR="00B73B92" w:rsidRDefault="00000000">
            <w:r>
              <w:rPr>
                <w:rFonts w:eastAsia="Arial"/>
                <w:b/>
                <w:bCs/>
                <w:sz w:val="20"/>
                <w:szCs w:val="20"/>
              </w:rPr>
              <w:t>Analysis</w:t>
            </w:r>
          </w:p>
        </w:tc>
      </w:tr>
      <w:tr w:rsidR="00B73B92" w14:paraId="781C5C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0F79" w14:textId="77777777" w:rsidR="00B73B92" w:rsidRDefault="00000000">
            <w:r>
              <w:rPr>
                <w:rFonts w:eastAsia="Arial"/>
                <w:sz w:val="20"/>
                <w:szCs w:val="20"/>
              </w:rPr>
              <w:t>Legislative District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357A" w14:textId="77777777" w:rsidR="00B73B92" w:rsidRDefault="00000000">
            <w:r>
              <w:rPr>
                <w:rFonts w:eastAsia="Arial"/>
                <w:sz w:val="20"/>
                <w:szCs w:val="20"/>
              </w:rPr>
              <w:t>Highest missing rate at 0.25%. All other columns are below 0.04%. The dataset is overall very clean with negligible missing data.</w:t>
            </w:r>
          </w:p>
        </w:tc>
      </w:tr>
      <w:tr w:rsidR="00B73B92" w14:paraId="25CF1E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CFB0" w14:textId="77777777" w:rsidR="00B73B92" w:rsidRDefault="00000000">
            <w:r>
              <w:rPr>
                <w:rFonts w:eastAsia="Arial"/>
                <w:sz w:val="20"/>
                <w:szCs w:val="20"/>
              </w:rPr>
              <w:t>Action Taken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92D7" w14:textId="77777777" w:rsidR="00B73B92" w:rsidRDefault="00000000">
            <w:r>
              <w:rPr>
                <w:rFonts w:eastAsia="Arial"/>
                <w:sz w:val="20"/>
                <w:szCs w:val="20"/>
              </w:rPr>
              <w:t>Numeric columns filled with median. Categorical columns filled with mode. Post-imputation missing count = 0.</w:t>
            </w:r>
          </w:p>
        </w:tc>
      </w:tr>
    </w:tbl>
    <w:p w14:paraId="15CBE073" w14:textId="77777777" w:rsidR="00B73B92" w:rsidRDefault="00B73B92">
      <w:pPr>
        <w:spacing w:before="60" w:after="60"/>
      </w:pPr>
    </w:p>
    <w:p w14:paraId="496E6462" w14:textId="77777777" w:rsidR="00B73B92" w:rsidRDefault="00000000">
      <w:pPr>
        <w:pStyle w:val="2"/>
      </w:pPr>
      <w:r>
        <w:t>2-2. Numeric Variable Distribution (Figure 2)</w:t>
      </w:r>
    </w:p>
    <w:p w14:paraId="2B0DDDD1" w14:textId="77777777" w:rsidR="00B73B92" w:rsidRDefault="00B73B9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73B92" w14:paraId="631367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6913" w14:textId="77777777" w:rsidR="00B73B92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E90C" w14:textId="77777777" w:rsidR="00B73B92" w:rsidRDefault="00000000">
            <w:r>
              <w:rPr>
                <w:rFonts w:eastAsia="Arial"/>
                <w:b/>
                <w:bCs/>
                <w:sz w:val="20"/>
                <w:szCs w:val="20"/>
              </w:rPr>
              <w:t>Analysis</w:t>
            </w:r>
          </w:p>
        </w:tc>
      </w:tr>
      <w:tr w:rsidR="00B73B92" w14:paraId="117CA2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C3DE" w14:textId="77777777" w:rsidR="00B73B92" w:rsidRDefault="00000000">
            <w:r>
              <w:rPr>
                <w:rFonts w:eastAsia="Arial"/>
                <w:sz w:val="20"/>
                <w:szCs w:val="20"/>
              </w:rPr>
              <w:t>Model Year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2106" w14:textId="77777777" w:rsidR="00B73B92" w:rsidRDefault="00000000">
            <w:r>
              <w:rPr>
                <w:rFonts w:eastAsia="Arial"/>
                <w:sz w:val="20"/>
                <w:szCs w:val="20"/>
              </w:rPr>
              <w:t>Rapid increase after 2020, peaking in 2023 (~60,000 vehicles). Reflects explosive EV adoption in recent years.</w:t>
            </w:r>
          </w:p>
        </w:tc>
      </w:tr>
      <w:tr w:rsidR="00B73B92" w14:paraId="2CAACE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E77E" w14:textId="77777777" w:rsidR="00B73B92" w:rsidRDefault="00000000">
            <w:r>
              <w:rPr>
                <w:rFonts w:eastAsia="Arial"/>
                <w:sz w:val="20"/>
                <w:szCs w:val="20"/>
              </w:rPr>
              <w:t>Electric Range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B4D9" w14:textId="77777777" w:rsidR="00B73B92" w:rsidRDefault="00000000">
            <w:r>
              <w:rPr>
                <w:rFonts w:eastAsia="Arial"/>
                <w:sz w:val="20"/>
                <w:szCs w:val="20"/>
              </w:rPr>
              <w:t>Highly right-skewed — data extremely concentrated in the 0–50 km range. Due to the large proportion of PHEVs with short electric-only range.</w:t>
            </w:r>
          </w:p>
        </w:tc>
      </w:tr>
      <w:tr w:rsidR="00B73B92" w14:paraId="1D45A8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BE3E" w14:textId="77777777" w:rsidR="00B73B92" w:rsidRDefault="00000000">
            <w:r>
              <w:rPr>
                <w:rFonts w:eastAsia="Arial"/>
                <w:sz w:val="20"/>
                <w:szCs w:val="20"/>
              </w:rPr>
              <w:t>Legislative District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1515" w14:textId="77777777" w:rsidR="00B73B92" w:rsidRDefault="00000000">
            <w:r>
              <w:rPr>
                <w:rFonts w:eastAsia="Arial"/>
                <w:sz w:val="20"/>
                <w:szCs w:val="20"/>
              </w:rPr>
              <w:t>Roughly uniform distribution across districts 1–49. Indicates geographically even EV registration patterns.</w:t>
            </w:r>
          </w:p>
        </w:tc>
      </w:tr>
    </w:tbl>
    <w:p w14:paraId="1451FFF3" w14:textId="77777777" w:rsidR="00B73B92" w:rsidRDefault="00B73B92">
      <w:pPr>
        <w:spacing w:before="60" w:after="60"/>
      </w:pPr>
    </w:p>
    <w:p w14:paraId="28D4BDD5" w14:textId="77777777" w:rsidR="00B73B92" w:rsidRDefault="00000000">
      <w:pPr>
        <w:pStyle w:val="2"/>
      </w:pPr>
      <w:r>
        <w:t>2-3. Outlier Detection — Boxplots (Figure 3)</w:t>
      </w:r>
    </w:p>
    <w:p w14:paraId="048362D5" w14:textId="77777777" w:rsidR="00B73B92" w:rsidRDefault="00B73B9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73B92" w14:paraId="1DB283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3FAC" w14:textId="77777777" w:rsidR="00B73B92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E8F76" w14:textId="77777777" w:rsidR="00B73B92" w:rsidRDefault="00000000">
            <w:r>
              <w:rPr>
                <w:rFonts w:eastAsia="Arial"/>
                <w:b/>
                <w:bCs/>
                <w:sz w:val="20"/>
                <w:szCs w:val="20"/>
              </w:rPr>
              <w:t>Analysis</w:t>
            </w:r>
          </w:p>
        </w:tc>
      </w:tr>
      <w:tr w:rsidR="00B73B92" w14:paraId="34FC34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F254" w14:textId="77777777" w:rsidR="00B73B92" w:rsidRDefault="00000000">
            <w:r>
              <w:rPr>
                <w:rFonts w:eastAsia="Arial"/>
                <w:sz w:val="20"/>
                <w:szCs w:val="20"/>
              </w:rPr>
              <w:lastRenderedPageBreak/>
              <w:t>Model Year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6512" w14:textId="77777777" w:rsidR="00B73B92" w:rsidRDefault="00000000">
            <w:r>
              <w:rPr>
                <w:rFonts w:eastAsia="Arial"/>
                <w:sz w:val="20"/>
                <w:szCs w:val="20"/>
              </w:rPr>
              <w:t>Vehicles manufactured before 2015 are flagged as outliers. They represent a small number of early-generation EVs still in use.</w:t>
            </w:r>
          </w:p>
        </w:tc>
      </w:tr>
      <w:tr w:rsidR="00B73B92" w14:paraId="7FA2FD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D3B0" w14:textId="77777777" w:rsidR="00B73B92" w:rsidRDefault="00000000">
            <w:r>
              <w:rPr>
                <w:rFonts w:eastAsia="Arial"/>
                <w:sz w:val="20"/>
                <w:szCs w:val="20"/>
              </w:rPr>
              <w:t>Electric Range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E45F" w14:textId="77777777" w:rsidR="00B73B92" w:rsidRDefault="00000000">
            <w:r>
              <w:rPr>
                <w:rFonts w:eastAsia="Arial"/>
                <w:sz w:val="20"/>
                <w:szCs w:val="20"/>
              </w:rPr>
              <w:t>Median is near 0; many high-end outliers (200 km+). These correspond to long-range Tesla BEVs. They are NOT data errors — they reflect vehicle type diversity and were retained.</w:t>
            </w:r>
          </w:p>
        </w:tc>
      </w:tr>
      <w:tr w:rsidR="00B73B92" w14:paraId="51D823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CEE0" w14:textId="77777777" w:rsidR="00B73B92" w:rsidRDefault="00000000">
            <w:r>
              <w:rPr>
                <w:rFonts w:eastAsia="Arial"/>
                <w:sz w:val="20"/>
                <w:szCs w:val="20"/>
              </w:rPr>
              <w:t>Legislative District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214C" w14:textId="77777777" w:rsidR="00B73B92" w:rsidRDefault="00000000">
            <w:r>
              <w:rPr>
                <w:rFonts w:eastAsia="Arial"/>
                <w:sz w:val="20"/>
                <w:szCs w:val="20"/>
              </w:rPr>
              <w:t>No outliers detected. The variable is a clean integer range from 1 to 49.</w:t>
            </w:r>
          </w:p>
        </w:tc>
      </w:tr>
    </w:tbl>
    <w:p w14:paraId="6BE026A2" w14:textId="77777777" w:rsidR="00B73B92" w:rsidRDefault="00B73B92">
      <w:pPr>
        <w:spacing w:before="60" w:after="60"/>
      </w:pPr>
    </w:p>
    <w:p w14:paraId="113711AF" w14:textId="77777777" w:rsidR="00B73B92" w:rsidRDefault="00000000">
      <w:pPr>
        <w:pStyle w:val="2"/>
      </w:pPr>
      <w:r>
        <w:t>2-4. Categorical Variable Distribution (Figure 4)</w:t>
      </w:r>
    </w:p>
    <w:p w14:paraId="08AE31BB" w14:textId="77777777" w:rsidR="00B73B92" w:rsidRDefault="00B73B9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73B92" w14:paraId="2CD7E5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8D88" w14:textId="77777777" w:rsidR="00B73B92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4F87" w14:textId="77777777" w:rsidR="00B73B92" w:rsidRDefault="00000000">
            <w:r>
              <w:rPr>
                <w:rFonts w:eastAsia="Arial"/>
                <w:b/>
                <w:bCs/>
                <w:sz w:val="20"/>
                <w:szCs w:val="20"/>
              </w:rPr>
              <w:t>Analysis</w:t>
            </w:r>
          </w:p>
        </w:tc>
      </w:tr>
      <w:tr w:rsidR="00B73B92" w14:paraId="4C5C54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A6E9" w14:textId="77777777" w:rsidR="00B73B92" w:rsidRDefault="00000000">
            <w:r>
              <w:rPr>
                <w:rFonts w:eastAsia="Arial"/>
                <w:sz w:val="20"/>
                <w:szCs w:val="20"/>
              </w:rPr>
              <w:t>Make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357A" w14:textId="77777777" w:rsidR="00B73B92" w:rsidRDefault="00000000">
            <w:r>
              <w:rPr>
                <w:rFonts w:eastAsia="Arial"/>
                <w:sz w:val="20"/>
                <w:szCs w:val="20"/>
              </w:rPr>
              <w:t>Tesla is the dominant manufacturer at roughly 5× the count of #2 Chevrolet, reflecting Tesla's strong market presence in Washington State.</w:t>
            </w:r>
          </w:p>
        </w:tc>
      </w:tr>
      <w:tr w:rsidR="00B73B92" w14:paraId="21D0CB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86EB" w14:textId="77777777" w:rsidR="00B73B92" w:rsidRDefault="00000000">
            <w:r>
              <w:rPr>
                <w:rFonts w:eastAsia="Arial"/>
                <w:sz w:val="20"/>
                <w:szCs w:val="20"/>
              </w:rPr>
              <w:t>Electric Vehicle Type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9A7E" w14:textId="77777777" w:rsidR="00B73B92" w:rsidRDefault="00000000">
            <w:r>
              <w:rPr>
                <w:rFonts w:eastAsia="Arial"/>
                <w:sz w:val="20"/>
                <w:szCs w:val="20"/>
              </w:rPr>
              <w:t>BEVs outnumber PHEVs approximately 4:1. A clear trend toward fully battery-electric vehicles.</w:t>
            </w:r>
          </w:p>
        </w:tc>
      </w:tr>
      <w:tr w:rsidR="00B73B92" w14:paraId="25D3E8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DDD8" w14:textId="77777777" w:rsidR="00B73B92" w:rsidRDefault="00000000">
            <w:r>
              <w:rPr>
                <w:rFonts w:eastAsia="Arial"/>
                <w:sz w:val="20"/>
                <w:szCs w:val="20"/>
              </w:rPr>
              <w:t>CAFV Eligibility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A44D" w14:textId="77777777" w:rsidR="00B73B92" w:rsidRDefault="00000000">
            <w:r>
              <w:rPr>
                <w:rFonts w:eastAsia="Arial"/>
                <w:sz w:val="20"/>
                <w:szCs w:val="20"/>
              </w:rPr>
              <w:t>Over half of records have unknown eligibility status. Only about 25% are confirmed eligible.</w:t>
            </w:r>
          </w:p>
        </w:tc>
      </w:tr>
      <w:tr w:rsidR="00B73B92" w14:paraId="20558A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91D7" w14:textId="77777777" w:rsidR="00B73B92" w:rsidRDefault="00000000">
            <w:r>
              <w:rPr>
                <w:rFonts w:eastAsia="Arial"/>
                <w:sz w:val="20"/>
                <w:szCs w:val="20"/>
              </w:rPr>
              <w:t>State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C8D6" w14:textId="77777777" w:rsidR="00B73B92" w:rsidRDefault="00000000">
            <w:r>
              <w:rPr>
                <w:rFonts w:eastAsia="Arial"/>
                <w:sz w:val="20"/>
                <w:szCs w:val="20"/>
              </w:rPr>
              <w:t>Nearly all records are from Washington State (WA), confirming this is a Washington-specific dataset.</w:t>
            </w:r>
          </w:p>
        </w:tc>
      </w:tr>
    </w:tbl>
    <w:p w14:paraId="0CAFBC74" w14:textId="77777777" w:rsidR="00B73B92" w:rsidRDefault="00B73B92">
      <w:pPr>
        <w:spacing w:before="60" w:after="60"/>
      </w:pPr>
    </w:p>
    <w:p w14:paraId="4CDD6117" w14:textId="77777777" w:rsidR="00B73B92" w:rsidRDefault="00000000">
      <w:pPr>
        <w:pStyle w:val="2"/>
      </w:pPr>
      <w:r>
        <w:t>2-5. Annual EV Registration Trend (Figure 5)</w:t>
      </w:r>
    </w:p>
    <w:p w14:paraId="63E29CF9" w14:textId="77777777" w:rsidR="00B73B92" w:rsidRDefault="00B73B92">
      <w:pPr>
        <w:spacing w:before="60" w:after="60"/>
      </w:pPr>
    </w:p>
    <w:p w14:paraId="07ACF2B3" w14:textId="77777777" w:rsidR="00B73B92" w:rsidRDefault="00000000">
      <w:pPr>
        <w:spacing w:before="60" w:after="60"/>
      </w:pPr>
      <w:r>
        <w:rPr>
          <w:rFonts w:eastAsia="Arial"/>
        </w:rPr>
        <w:t>Slow growth throughout the early 2010s, followed by explosive growth from 2021, peaking at approximately 60,000 registrations in 2023. The apparent drop in 2026–2027 is due to incomplete year-to-date data at the time of collection — it does not represent a real decline.</w:t>
      </w:r>
    </w:p>
    <w:p w14:paraId="10E76245" w14:textId="77777777" w:rsidR="00B73B92" w:rsidRDefault="00B73B92">
      <w:pPr>
        <w:spacing w:before="60" w:after="60"/>
      </w:pPr>
    </w:p>
    <w:p w14:paraId="17B1AF1C" w14:textId="77777777" w:rsidR="00B73B92" w:rsidRDefault="00000000">
      <w:pPr>
        <w:pStyle w:val="2"/>
      </w:pPr>
      <w:r>
        <w:t>2-6. Correlation Heatmap (Figure 6)</w:t>
      </w:r>
    </w:p>
    <w:p w14:paraId="169787F0" w14:textId="77777777" w:rsidR="00B73B92" w:rsidRDefault="00B73B9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73B92" w14:paraId="770630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AF98" w14:textId="77777777" w:rsidR="00B73B92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36E9" w14:textId="77777777" w:rsidR="00B73B92" w:rsidRDefault="00000000">
            <w:r>
              <w:rPr>
                <w:rFonts w:eastAsia="Arial"/>
                <w:b/>
                <w:bCs/>
                <w:sz w:val="20"/>
                <w:szCs w:val="20"/>
              </w:rPr>
              <w:t>Analysis</w:t>
            </w:r>
          </w:p>
        </w:tc>
      </w:tr>
      <w:tr w:rsidR="00B73B92" w14:paraId="7D6EAF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377F" w14:textId="77777777" w:rsidR="00B73B92" w:rsidRDefault="00000000">
            <w:r>
              <w:rPr>
                <w:rFonts w:eastAsia="Arial"/>
                <w:sz w:val="20"/>
                <w:szCs w:val="20"/>
              </w:rPr>
              <w:t>Model Year ↔ Electric Range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DFAC" w14:textId="77777777" w:rsidR="00B73B92" w:rsidRDefault="00000000">
            <w:r>
              <w:rPr>
                <w:rFonts w:eastAsia="Arial"/>
                <w:sz w:val="20"/>
                <w:szCs w:val="20"/>
              </w:rPr>
              <w:t>Correlation: -0.55 (moderate negative). Counter-intuitive at first glance — older records include long-range Tesla BEVs, while recent data contains many short-range PHEVs, which drives this negative relationship.</w:t>
            </w:r>
          </w:p>
        </w:tc>
      </w:tr>
      <w:tr w:rsidR="00B73B92" w14:paraId="612375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833B" w14:textId="77777777" w:rsidR="00B73B92" w:rsidRDefault="00000000">
            <w:r>
              <w:rPr>
                <w:rFonts w:eastAsia="Arial"/>
                <w:sz w:val="20"/>
                <w:szCs w:val="20"/>
              </w:rPr>
              <w:t>All other pairs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23DB" w14:textId="77777777" w:rsidR="00B73B92" w:rsidRDefault="00000000">
            <w:r>
              <w:rPr>
                <w:rFonts w:eastAsia="Arial"/>
                <w:sz w:val="20"/>
                <w:szCs w:val="20"/>
              </w:rPr>
              <w:t>Correlation near 0 across all other variable combinations. The remaining variables are essentially independent of each other.</w:t>
            </w:r>
          </w:p>
        </w:tc>
      </w:tr>
    </w:tbl>
    <w:p w14:paraId="2870F2F9" w14:textId="77777777" w:rsidR="00B73B92" w:rsidRDefault="00B73B92">
      <w:pPr>
        <w:spacing w:before="60" w:after="60"/>
      </w:pPr>
    </w:p>
    <w:p w14:paraId="1026126D" w14:textId="77777777" w:rsidR="00B73B92" w:rsidRDefault="00000000">
      <w:pPr>
        <w:pStyle w:val="1"/>
      </w:pPr>
      <w:r>
        <w:t>3. Preprocessing</w:t>
      </w:r>
    </w:p>
    <w:p w14:paraId="1F9D9C84" w14:textId="77777777" w:rsidR="00B73B92" w:rsidRDefault="00000000">
      <w:pPr>
        <w:spacing w:before="60" w:after="60"/>
      </w:pPr>
      <w:r>
        <w:rPr>
          <w:rFonts w:eastAsia="Arial"/>
        </w:rPr>
        <w:t>Preprocessing transforms the raw data into a clean, model-ready format. The steps below were applied after EDA to prepare two output files for the Classification and Regression/Clustering teams.</w:t>
      </w:r>
    </w:p>
    <w:p w14:paraId="7C8A4147" w14:textId="77777777" w:rsidR="00B73B92" w:rsidRDefault="00B73B9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73B92" w14:paraId="4D32E6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2C04" w14:textId="77777777" w:rsidR="00B73B92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Step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6C98" w14:textId="77777777" w:rsidR="00B73B92" w:rsidRDefault="00000000">
            <w:r>
              <w:rPr>
                <w:rFonts w:eastAsia="Arial"/>
                <w:b/>
                <w:bCs/>
                <w:sz w:val="20"/>
                <w:szCs w:val="20"/>
              </w:rPr>
              <w:t>Detail</w:t>
            </w:r>
          </w:p>
        </w:tc>
      </w:tr>
      <w:tr w:rsidR="00B73B92" w14:paraId="1F180E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69B3" w14:textId="77777777" w:rsidR="00B73B92" w:rsidRDefault="00000000">
            <w:r>
              <w:rPr>
                <w:rFonts w:eastAsia="Arial"/>
                <w:sz w:val="20"/>
                <w:szCs w:val="20"/>
              </w:rPr>
              <w:t>Missing Value Handling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B8C3" w14:textId="77777777" w:rsidR="00B73B92" w:rsidRDefault="00000000">
            <w:r>
              <w:rPr>
                <w:rFonts w:eastAsia="Arial"/>
                <w:sz w:val="20"/>
                <w:szCs w:val="20"/>
              </w:rPr>
              <w:t>Numeric columns: filled with median. Categorical columns: filled with mode. Post-processing missing count: 0.</w:t>
            </w:r>
          </w:p>
        </w:tc>
      </w:tr>
      <w:tr w:rsidR="00B73B92" w14:paraId="53C38C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6A8E1" w14:textId="77777777" w:rsidR="00B73B92" w:rsidRDefault="00000000">
            <w:r>
              <w:rPr>
                <w:rFonts w:eastAsia="Arial"/>
                <w:sz w:val="20"/>
                <w:szCs w:val="20"/>
              </w:rPr>
              <w:t>Encoding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9B0E2" w14:textId="77777777" w:rsidR="00B73B92" w:rsidRDefault="00000000">
            <w:r>
              <w:rPr>
                <w:rFonts w:eastAsia="Arial"/>
                <w:sz w:val="20"/>
                <w:szCs w:val="20"/>
              </w:rPr>
              <w:t>Label Encoding applied to: County, City, Make, Model, Electric Utility (high-cardinality categories). One-Hot Encoding applied to: Electric Vehicle Type (BEV/PHEV), CAFV Eligibility. Dropped columns (non-informative): VIN (1-10), Vehicle Location, 2020 Census Tract, DOL Vehicle ID, Postal Code, State. Final column count after encoding: 13.</w:t>
            </w:r>
          </w:p>
        </w:tc>
      </w:tr>
      <w:tr w:rsidR="00B73B92" w14:paraId="4E2380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C9D1" w14:textId="77777777" w:rsidR="00B73B92" w:rsidRDefault="00000000">
            <w:r>
              <w:rPr>
                <w:rFonts w:eastAsia="Arial"/>
                <w:sz w:val="20"/>
                <w:szCs w:val="20"/>
              </w:rPr>
              <w:t>Scaling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1E56" w14:textId="77777777" w:rsidR="00B73B92" w:rsidRDefault="00000000">
            <w:r>
              <w:rPr>
                <w:rFonts w:eastAsia="Arial"/>
                <w:sz w:val="20"/>
                <w:szCs w:val="20"/>
              </w:rPr>
              <w:t>StandardScaler (mean=0, std=1) applied to: Model Year, Electric Range, Legislative District. MinMaxScaler (range 0–1) applied to the same columns. Two separate output files produced.</w:t>
            </w:r>
          </w:p>
        </w:tc>
      </w:tr>
      <w:tr w:rsidR="00B73B92" w14:paraId="30C305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C9A9" w14:textId="77777777" w:rsidR="00B73B92" w:rsidRDefault="00000000">
            <w:r>
              <w:rPr>
                <w:rFonts w:eastAsia="Arial"/>
                <w:sz w:val="20"/>
                <w:szCs w:val="20"/>
              </w:rPr>
              <w:t>Output Files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3D8C" w14:textId="77777777" w:rsidR="00B73B92" w:rsidRDefault="00000000">
            <w:r>
              <w:rPr>
                <w:rFonts w:eastAsia="Arial"/>
                <w:sz w:val="20"/>
                <w:szCs w:val="20"/>
              </w:rPr>
              <w:t>EV_preprocessed_standard.csv → for Classification team (StandardScaler applied). EV_preprocessed_minmax.csv → for Regression / Clustering team (MinMaxScaler applied).</w:t>
            </w:r>
          </w:p>
        </w:tc>
      </w:tr>
    </w:tbl>
    <w:p w14:paraId="44C7BF79" w14:textId="77777777" w:rsidR="00B73B92" w:rsidRDefault="00B73B92">
      <w:pPr>
        <w:spacing w:before="60" w:after="60"/>
      </w:pPr>
    </w:p>
    <w:p w14:paraId="3E096564" w14:textId="77777777" w:rsidR="00B73B92" w:rsidRDefault="00000000">
      <w:pPr>
        <w:spacing w:before="240"/>
        <w:jc w:val="center"/>
      </w:pPr>
      <w:r>
        <w:rPr>
          <w:rFonts w:eastAsia="Arial"/>
          <w:i/>
          <w:iCs/>
          <w:sz w:val="20"/>
          <w:szCs w:val="20"/>
        </w:rPr>
        <w:t>— End of Report —</w:t>
      </w:r>
    </w:p>
    <w:sectPr w:rsidR="00B73B9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12D53"/>
    <w:multiLevelType w:val="hybridMultilevel"/>
    <w:tmpl w:val="CDEA3D98"/>
    <w:lvl w:ilvl="0" w:tplc="3E5EE632">
      <w:start w:val="1"/>
      <w:numFmt w:val="bullet"/>
      <w:lvlText w:val="●"/>
      <w:lvlJc w:val="left"/>
      <w:pPr>
        <w:ind w:left="720" w:hanging="360"/>
      </w:pPr>
    </w:lvl>
    <w:lvl w:ilvl="1" w:tplc="CC649496">
      <w:start w:val="1"/>
      <w:numFmt w:val="bullet"/>
      <w:lvlText w:val="○"/>
      <w:lvlJc w:val="left"/>
      <w:pPr>
        <w:ind w:left="1440" w:hanging="360"/>
      </w:pPr>
    </w:lvl>
    <w:lvl w:ilvl="2" w:tplc="E2E289CA">
      <w:start w:val="1"/>
      <w:numFmt w:val="bullet"/>
      <w:lvlText w:val="■"/>
      <w:lvlJc w:val="left"/>
      <w:pPr>
        <w:ind w:left="2160" w:hanging="360"/>
      </w:pPr>
    </w:lvl>
    <w:lvl w:ilvl="3" w:tplc="7DFC937A">
      <w:start w:val="1"/>
      <w:numFmt w:val="bullet"/>
      <w:lvlText w:val="●"/>
      <w:lvlJc w:val="left"/>
      <w:pPr>
        <w:ind w:left="2880" w:hanging="360"/>
      </w:pPr>
    </w:lvl>
    <w:lvl w:ilvl="4" w:tplc="43BA8B06">
      <w:start w:val="1"/>
      <w:numFmt w:val="bullet"/>
      <w:lvlText w:val="○"/>
      <w:lvlJc w:val="left"/>
      <w:pPr>
        <w:ind w:left="3600" w:hanging="360"/>
      </w:pPr>
    </w:lvl>
    <w:lvl w:ilvl="5" w:tplc="E36EA590">
      <w:start w:val="1"/>
      <w:numFmt w:val="bullet"/>
      <w:lvlText w:val="■"/>
      <w:lvlJc w:val="left"/>
      <w:pPr>
        <w:ind w:left="4320" w:hanging="360"/>
      </w:pPr>
    </w:lvl>
    <w:lvl w:ilvl="6" w:tplc="2E2226A8">
      <w:start w:val="1"/>
      <w:numFmt w:val="bullet"/>
      <w:lvlText w:val="●"/>
      <w:lvlJc w:val="left"/>
      <w:pPr>
        <w:ind w:left="5040" w:hanging="360"/>
      </w:pPr>
    </w:lvl>
    <w:lvl w:ilvl="7" w:tplc="4A4E2968">
      <w:start w:val="1"/>
      <w:numFmt w:val="bullet"/>
      <w:lvlText w:val="●"/>
      <w:lvlJc w:val="left"/>
      <w:pPr>
        <w:ind w:left="5760" w:hanging="360"/>
      </w:pPr>
    </w:lvl>
    <w:lvl w:ilvl="8" w:tplc="FF7A7A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AE66FA"/>
    <w:multiLevelType w:val="hybridMultilevel"/>
    <w:tmpl w:val="BC3E10BE"/>
    <w:lvl w:ilvl="0" w:tplc="C1CC3498">
      <w:start w:val="1"/>
      <w:numFmt w:val="bullet"/>
      <w:lvlText w:val="•"/>
      <w:lvlJc w:val="left"/>
      <w:pPr>
        <w:ind w:left="720" w:hanging="360"/>
      </w:pPr>
    </w:lvl>
    <w:lvl w:ilvl="1" w:tplc="3C141CD0">
      <w:numFmt w:val="decimal"/>
      <w:lvlText w:val=""/>
      <w:lvlJc w:val="left"/>
    </w:lvl>
    <w:lvl w:ilvl="2" w:tplc="CF78B800">
      <w:numFmt w:val="decimal"/>
      <w:lvlText w:val=""/>
      <w:lvlJc w:val="left"/>
    </w:lvl>
    <w:lvl w:ilvl="3" w:tplc="68A6FE12">
      <w:numFmt w:val="decimal"/>
      <w:lvlText w:val=""/>
      <w:lvlJc w:val="left"/>
    </w:lvl>
    <w:lvl w:ilvl="4" w:tplc="BDB2C9F4">
      <w:numFmt w:val="decimal"/>
      <w:lvlText w:val=""/>
      <w:lvlJc w:val="left"/>
    </w:lvl>
    <w:lvl w:ilvl="5" w:tplc="3FE22380">
      <w:numFmt w:val="decimal"/>
      <w:lvlText w:val=""/>
      <w:lvlJc w:val="left"/>
    </w:lvl>
    <w:lvl w:ilvl="6" w:tplc="6F9AC984">
      <w:numFmt w:val="decimal"/>
      <w:lvlText w:val=""/>
      <w:lvlJc w:val="left"/>
    </w:lvl>
    <w:lvl w:ilvl="7" w:tplc="7CB6AF66">
      <w:numFmt w:val="decimal"/>
      <w:lvlText w:val=""/>
      <w:lvlJc w:val="left"/>
    </w:lvl>
    <w:lvl w:ilvl="8" w:tplc="6AF2224C">
      <w:numFmt w:val="decimal"/>
      <w:lvlText w:val=""/>
      <w:lvlJc w:val="left"/>
    </w:lvl>
  </w:abstractNum>
  <w:num w:numId="1" w16cid:durableId="1370951613">
    <w:abstractNumId w:val="0"/>
    <w:lvlOverride w:ilvl="0">
      <w:startOverride w:val="1"/>
    </w:lvlOverride>
  </w:num>
  <w:num w:numId="2" w16cid:durableId="552767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B92"/>
    <w:rsid w:val="000419BA"/>
    <w:rsid w:val="007715B2"/>
    <w:rsid w:val="00B7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8CFB8"/>
  <w15:docId w15:val="{817F341B-C53A-4444-84DA-08ACF2CE5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Arial"/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80"/>
      <w:outlineLvl w:val="1"/>
    </w:pPr>
    <w:rPr>
      <w:rFonts w:eastAsia="Arial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651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임지성</cp:lastModifiedBy>
  <cp:revision>2</cp:revision>
  <dcterms:created xsi:type="dcterms:W3CDTF">2026-05-24T10:08:00Z</dcterms:created>
  <dcterms:modified xsi:type="dcterms:W3CDTF">2026-05-24T10:20:00Z</dcterms:modified>
</cp:coreProperties>
</file>