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25423B" w14:textId="77777777" w:rsidR="00134AAB" w:rsidRDefault="00000000">
      <w:pPr>
        <w:pStyle w:val="Heading1"/>
      </w:pPr>
      <w:bookmarkStart w:id="0" w:name="X990644241af78ca0e0a359419d6ff2def6fd39e"/>
      <w:r>
        <w:t>Market Sentiment and Trader Behavior Analysis</w:t>
      </w:r>
    </w:p>
    <w:p w14:paraId="606AB4F0" w14:textId="77777777" w:rsidR="00134AAB" w:rsidRDefault="00000000">
      <w:pPr>
        <w:pStyle w:val="Heading2"/>
      </w:pPr>
      <w:bookmarkStart w:id="1" w:name="methodology"/>
      <w:r>
        <w:t>Methodology</w:t>
      </w:r>
    </w:p>
    <w:p w14:paraId="78AC3D6A" w14:textId="4B6CF976" w:rsidR="00134AAB" w:rsidRDefault="00000000">
      <w:pPr>
        <w:pStyle w:val="FirstParagraph"/>
      </w:pPr>
      <w:r>
        <w:t xml:space="preserve">This </w:t>
      </w:r>
      <w:r w:rsidR="007A2E7D">
        <w:t>task</w:t>
      </w:r>
      <w:r>
        <w:t xml:space="preserve"> analyzes the relationship between market sentiment and trader performance by combining historical trading data with the Fear &amp; Greed Index dataset.</w:t>
      </w:r>
    </w:p>
    <w:p w14:paraId="02BD10BC" w14:textId="77777777" w:rsidR="00134AAB" w:rsidRDefault="00000000">
      <w:pPr>
        <w:pStyle w:val="BodyText"/>
      </w:pPr>
      <w:r>
        <w:t>The analysis began with data cleaning and preprocessing, including date formatting, handling missing values, and merging both datasets on trading dates. Exploratory Data Analysis (EDA) was then performed to evaluate how trader behavior changes under different market sentiment conditions (Fear, Neutral, and Greed).</w:t>
      </w:r>
    </w:p>
    <w:p w14:paraId="2A37AE47" w14:textId="77777777" w:rsidR="00134AAB" w:rsidRDefault="00000000">
      <w:pPr>
        <w:pStyle w:val="BodyText"/>
      </w:pPr>
      <w:r>
        <w:t>Key performance indicators such as average Profit &amp; Loss (PnL), win rate, trading frequency, position size, and drawdown were analyzed. Additionally, traders were segmented based on trading activity and position size to identify behavioral patterns and performance differences.</w:t>
      </w:r>
    </w:p>
    <w:p w14:paraId="7D8C8E85" w14:textId="6F610B1B" w:rsidR="00134AAB" w:rsidRDefault="00000000" w:rsidP="007A2E7D">
      <w:pPr>
        <w:pStyle w:val="BodyText"/>
      </w:pPr>
      <w:r>
        <w:t>Visualization techniques including bar charts, box plots, histograms, and correlation heatmaps were used to uncover trends and relationships within the data.</w:t>
      </w:r>
    </w:p>
    <w:p w14:paraId="32B75A45" w14:textId="77777777" w:rsidR="007A2E7D" w:rsidRDefault="007A2E7D" w:rsidP="007A2E7D">
      <w:pPr>
        <w:pStyle w:val="BodyText"/>
      </w:pPr>
    </w:p>
    <w:p w14:paraId="14448EB6" w14:textId="77777777" w:rsidR="00134AAB" w:rsidRDefault="00000000">
      <w:pPr>
        <w:pStyle w:val="Heading2"/>
      </w:pPr>
      <w:bookmarkStart w:id="2" w:name="key-insights"/>
      <w:bookmarkEnd w:id="1"/>
      <w:r>
        <w:t>Key Insights</w:t>
      </w:r>
    </w:p>
    <w:p w14:paraId="2523A27A" w14:textId="77777777" w:rsidR="00134AAB" w:rsidRDefault="00000000">
      <w:pPr>
        <w:pStyle w:val="Heading3"/>
      </w:pPr>
      <w:bookmarkStart w:id="3" w:name="higher-profitability-during-fear-periods"/>
      <w:r>
        <w:t>1. Higher Profitability During Fear Periods</w:t>
      </w:r>
    </w:p>
    <w:p w14:paraId="631CEB4C" w14:textId="77777777" w:rsidR="00134AAB" w:rsidRDefault="00000000">
      <w:pPr>
        <w:pStyle w:val="FirstParagraph"/>
      </w:pPr>
      <w:r>
        <w:t>Traders generated the highest average profits during Fear market conditions. This suggests that periods of market uncertainty may provide better trading opportunities due to increased volatility.</w:t>
      </w:r>
    </w:p>
    <w:p w14:paraId="677BBFAA" w14:textId="77777777" w:rsidR="00134AAB" w:rsidRDefault="00000000">
      <w:pPr>
        <w:pStyle w:val="Heading3"/>
      </w:pPr>
      <w:bookmarkStart w:id="4" w:name="win-rate-remains-relatively-stable"/>
      <w:bookmarkEnd w:id="3"/>
      <w:r>
        <w:t>2. Win Rate Remains Relatively Stable</w:t>
      </w:r>
    </w:p>
    <w:p w14:paraId="1174BCAB" w14:textId="77777777" w:rsidR="00134AAB" w:rsidRDefault="00000000">
      <w:pPr>
        <w:pStyle w:val="FirstParagraph"/>
      </w:pPr>
      <w:r>
        <w:t>Although profitability varied across sentiment categories, win rates remained relatively consistent. This indicates that larger profitable trades, rather than a higher number of winning trades, contributed to increased returns.</w:t>
      </w:r>
    </w:p>
    <w:p w14:paraId="4676B2C7" w14:textId="77777777" w:rsidR="00134AAB" w:rsidRDefault="00000000">
      <w:pPr>
        <w:pStyle w:val="Heading3"/>
      </w:pPr>
      <w:bookmarkStart w:id="5" w:name="position-size-influences-performance"/>
      <w:bookmarkEnd w:id="4"/>
      <w:r>
        <w:t>3. Position Size Influences Performance</w:t>
      </w:r>
    </w:p>
    <w:p w14:paraId="52B56125" w14:textId="77777777" w:rsidR="00134AAB" w:rsidRDefault="00000000">
      <w:pPr>
        <w:pStyle w:val="FirstParagraph"/>
      </w:pPr>
      <w:r>
        <w:t>A positive relationship was observed between position size and profitability. Traders who managed larger positions generally achieved higher average returns.</w:t>
      </w:r>
    </w:p>
    <w:p w14:paraId="135CB504" w14:textId="77777777" w:rsidR="00134AAB" w:rsidRDefault="00000000">
      <w:pPr>
        <w:pStyle w:val="Heading3"/>
      </w:pPr>
      <w:bookmarkStart w:id="6" w:name="Xf4d22a5a891baf6ae839aff97d2fb4cb947f49e"/>
      <w:bookmarkEnd w:id="5"/>
      <w:r>
        <w:t>4. Excessive Trading Does Not Guarantee Better Results</w:t>
      </w:r>
    </w:p>
    <w:p w14:paraId="6699157F" w14:textId="77777777" w:rsidR="00134AAB" w:rsidRDefault="00000000">
      <w:pPr>
        <w:pStyle w:val="FirstParagraph"/>
      </w:pPr>
      <w:r>
        <w:t>Frequent traders did not consistently outperform less active traders. In many cases, selective trading strategies produced stronger results than high trading volumes.</w:t>
      </w:r>
    </w:p>
    <w:p w14:paraId="19DA8813" w14:textId="77777777" w:rsidR="00134AAB" w:rsidRDefault="00000000">
      <w:pPr>
        <w:pStyle w:val="Heading3"/>
      </w:pPr>
      <w:bookmarkStart w:id="7" w:name="X5d7fb821260ea655de990494b91ac47f4e7e0ad"/>
      <w:bookmarkEnd w:id="6"/>
      <w:r>
        <w:lastRenderedPageBreak/>
        <w:t>5. Market Sentiment Affects Trading Behavior</w:t>
      </w:r>
    </w:p>
    <w:p w14:paraId="6FA2F9B2" w14:textId="77777777" w:rsidR="00134AAB" w:rsidRDefault="00000000">
      <w:pPr>
        <w:pStyle w:val="FirstParagraph"/>
      </w:pPr>
      <w:r>
        <w:t>Trader participation and position sizing varied across sentiment conditions, demonstrating that market psychology influences decision-making and risk-taking behavior.</w:t>
      </w:r>
    </w:p>
    <w:p w14:paraId="5A5215BA" w14:textId="77777777" w:rsidR="00134AAB" w:rsidRDefault="00000000">
      <w:r>
        <w:pict w14:anchorId="4530B0D3">
          <v:rect id="_x0000_i1055" style="width:0;height:1.5pt" o:hralign="center" o:hrstd="t" o:hr="t"/>
        </w:pict>
      </w:r>
    </w:p>
    <w:p w14:paraId="1A186859" w14:textId="77777777" w:rsidR="00134AAB" w:rsidRDefault="00000000">
      <w:pPr>
        <w:pStyle w:val="Heading2"/>
      </w:pPr>
      <w:bookmarkStart w:id="8" w:name="strategy-recommendations"/>
      <w:bookmarkEnd w:id="2"/>
      <w:bookmarkEnd w:id="7"/>
      <w:r>
        <w:t>Strategy Recommendations</w:t>
      </w:r>
    </w:p>
    <w:p w14:paraId="3567E7C3" w14:textId="42656AF8" w:rsidR="00134AAB" w:rsidRDefault="00000000">
      <w:pPr>
        <w:pStyle w:val="Heading3"/>
      </w:pPr>
      <w:bookmarkStart w:id="9" w:name="X714a39f0e162c7fe1ff5d3430fdb5eed52c49d7"/>
      <w:r>
        <w:t xml:space="preserve">1. </w:t>
      </w:r>
      <w:r w:rsidR="007A2E7D" w:rsidRPr="007A2E7D">
        <w:t>Focus on Quality Trades Over Quantity</w:t>
      </w:r>
    </w:p>
    <w:p w14:paraId="73DB2BB2" w14:textId="77777777" w:rsidR="007A2E7D" w:rsidRDefault="007A2E7D">
      <w:pPr>
        <w:pStyle w:val="Heading3"/>
        <w:rPr>
          <w:rFonts w:eastAsiaTheme="minorHAnsi" w:cstheme="minorBidi"/>
          <w:color w:val="auto"/>
          <w:sz w:val="24"/>
          <w:szCs w:val="24"/>
        </w:rPr>
      </w:pPr>
      <w:bookmarkStart w:id="10" w:name="prioritize-trade-quality-over-quantity"/>
      <w:bookmarkEnd w:id="9"/>
      <w:r w:rsidRPr="007A2E7D">
        <w:rPr>
          <w:rFonts w:eastAsiaTheme="minorHAnsi" w:cstheme="minorBidi"/>
          <w:color w:val="auto"/>
          <w:sz w:val="24"/>
          <w:szCs w:val="24"/>
        </w:rPr>
        <w:t>The analysis revealed that infrequent traders achieved significantly higher average profitability (244.47) compared to frequent traders (41.52). This suggests that excessive trading may reduce overall performance due to increased transaction costs and lower trade quality. Traders should prioritize high-conviction opportunities rather than increasing trading frequency.</w:t>
      </w:r>
    </w:p>
    <w:p w14:paraId="35464D5E" w14:textId="0A8C3F7A" w:rsidR="00134AAB" w:rsidRDefault="00000000">
      <w:pPr>
        <w:pStyle w:val="Heading3"/>
      </w:pPr>
      <w:r>
        <w:t xml:space="preserve">2. </w:t>
      </w:r>
      <w:r w:rsidR="007A2E7D" w:rsidRPr="007A2E7D">
        <w:t>Capitalize on Fear Market Conditions</w:t>
      </w:r>
    </w:p>
    <w:p w14:paraId="196AD8B6" w14:textId="77777777" w:rsidR="007A2E7D" w:rsidRDefault="007A2E7D">
      <w:pPr>
        <w:pStyle w:val="Heading3"/>
        <w:rPr>
          <w:rFonts w:eastAsiaTheme="minorHAnsi" w:cstheme="minorBidi"/>
          <w:color w:val="auto"/>
          <w:sz w:val="24"/>
          <w:szCs w:val="24"/>
        </w:rPr>
      </w:pPr>
      <w:bookmarkStart w:id="11" w:name="implement-structured-position-sizing"/>
      <w:bookmarkEnd w:id="10"/>
      <w:r w:rsidRPr="007A2E7D">
        <w:rPr>
          <w:rFonts w:eastAsiaTheme="minorHAnsi" w:cstheme="minorBidi"/>
          <w:color w:val="auto"/>
          <w:sz w:val="24"/>
          <w:szCs w:val="24"/>
        </w:rPr>
        <w:t xml:space="preserve">Fear periods demonstrated the highest average profitability in the dataset, with an average </w:t>
      </w:r>
      <w:proofErr w:type="spellStart"/>
      <w:r w:rsidRPr="007A2E7D">
        <w:rPr>
          <w:rFonts w:eastAsiaTheme="minorHAnsi" w:cstheme="minorBidi"/>
          <w:color w:val="auto"/>
          <w:sz w:val="24"/>
          <w:szCs w:val="24"/>
        </w:rPr>
        <w:t>PnL</w:t>
      </w:r>
      <w:proofErr w:type="spellEnd"/>
      <w:r w:rsidRPr="007A2E7D">
        <w:rPr>
          <w:rFonts w:eastAsiaTheme="minorHAnsi" w:cstheme="minorBidi"/>
          <w:color w:val="auto"/>
          <w:sz w:val="24"/>
          <w:szCs w:val="24"/>
        </w:rPr>
        <w:t xml:space="preserve"> of approximately 111.17 compared to 64.75 during Greed periods. Traders can consider selectively increasing position sizes during fear-driven market conditions while maintaining strict risk management practices. Market uncertainty often creates attractive trading opportunities for disciplined participants.</w:t>
      </w:r>
    </w:p>
    <w:p w14:paraId="1EFD208E" w14:textId="2AC3178A" w:rsidR="00134AAB" w:rsidRDefault="00000000">
      <w:pPr>
        <w:pStyle w:val="Heading3"/>
      </w:pPr>
      <w:r>
        <w:t>3. Implement Structured Position Sizing</w:t>
      </w:r>
    </w:p>
    <w:p w14:paraId="6FD69D02" w14:textId="77777777" w:rsidR="00134AAB" w:rsidRDefault="00000000">
      <w:pPr>
        <w:pStyle w:val="FirstParagraph"/>
      </w:pPr>
      <w:r>
        <w:t>Position sizing was found to have a significant impact on performance. Traders should adopt risk-adjusted sizing strategies to maximize returns while controlling downside risk.</w:t>
      </w:r>
    </w:p>
    <w:p w14:paraId="17524320" w14:textId="77777777" w:rsidR="00134AAB" w:rsidRDefault="00000000">
      <w:pPr>
        <w:pStyle w:val="Heading3"/>
      </w:pPr>
      <w:bookmarkStart w:id="12" w:name="Xb32806f5917ef99c5c80dae0baa051623210a3e"/>
      <w:bookmarkEnd w:id="11"/>
      <w:r>
        <w:t>4. Monitor Market Sentiment as a Supporting Indicator</w:t>
      </w:r>
    </w:p>
    <w:p w14:paraId="49E5DD98" w14:textId="77777777" w:rsidR="00134AAB" w:rsidRDefault="00000000">
      <w:pPr>
        <w:pStyle w:val="FirstParagraph"/>
      </w:pPr>
      <w:r>
        <w:t>The Fear &amp; Greed Index can serve as a valuable supplementary indicator for understanding market conditions and improving trading decisions.</w:t>
      </w:r>
    </w:p>
    <w:p w14:paraId="1272E830" w14:textId="77777777" w:rsidR="00134AAB" w:rsidRDefault="00000000">
      <w:pPr>
        <w:pStyle w:val="Heading3"/>
      </w:pPr>
      <w:bookmarkStart w:id="13" w:name="strengthen-risk-management-practices"/>
      <w:bookmarkEnd w:id="12"/>
      <w:r>
        <w:t>5. Strengthen Risk Management Practices</w:t>
      </w:r>
    </w:p>
    <w:p w14:paraId="5D42365A" w14:textId="77777777" w:rsidR="00134AAB" w:rsidRDefault="00000000">
      <w:pPr>
        <w:pStyle w:val="FirstParagraph"/>
      </w:pPr>
      <w:r>
        <w:t>Regardless of sentiment conditions, effective stop-loss placement, capital allocation, and drawdown management remain essential for long-term trading success.</w:t>
      </w:r>
      <w:bookmarkEnd w:id="0"/>
      <w:bookmarkEnd w:id="8"/>
      <w:bookmarkEnd w:id="13"/>
    </w:p>
    <w:sectPr w:rsidR="00134AA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C95C47D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573449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134AAB"/>
    <w:rsid w:val="000F78C8"/>
    <w:rsid w:val="00134AAB"/>
    <w:rsid w:val="007A2E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2FE6D"/>
  <w15:docId w15:val="{621BC9FA-3ED5-4C0A-B1CA-13BAB7B93A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10</TotalTime>
  <Pages>2</Pages>
  <Words>539</Words>
  <Characters>3074</Characters>
  <Application>Microsoft Office Word</Application>
  <DocSecurity>0</DocSecurity>
  <Lines>25</Lines>
  <Paragraphs>7</Paragraphs>
  <ScaleCrop>false</ScaleCrop>
  <Company/>
  <LinksUpToDate>false</LinksUpToDate>
  <CharactersWithSpaces>3606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JINIA GOEL</cp:lastModifiedBy>
  <cp:revision>2</cp:revision>
  <dcterms:created xsi:type="dcterms:W3CDTF">2026-06-01T14:40:00Z</dcterms:created>
  <dcterms:modified xsi:type="dcterms:W3CDTF">2026-06-01T14:44:00Z</dcterms:modified>
</cp:coreProperties>
</file>