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对比方案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MgJe8" w:id="0"/>
      <w:r>
        <w:rPr>
          <w:rFonts w:ascii="宋体" w:hAnsi="Times New Roman" w:eastAsia="宋体"/>
        </w:rPr>
        <w:t>AD方法梳理</w:t>
      </w:r>
    </w:p>
    <w:bookmarkEnd w:id="0"/>
    <w:bookmarkStart w:name="HQ8R8" w:id="1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541"/>
        <w:gridCol w:w="1756"/>
        <w:gridCol w:w="1937"/>
        <w:gridCol w:w="2675"/>
        <w:gridCol w:w="2387"/>
        <w:gridCol w:w="2338"/>
      </w:tblGrid>
      <w:tr>
        <w:trPr>
          <w:trHeight w:val="495" w:hRule="atLeast"/>
        </w:trPr>
        <w:tc>
          <w:tcPr>
            <w:tcW w:w="254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81c0d89" w:id="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方法</w:t>
            </w:r>
          </w:p>
          <w:bookmarkEnd w:id="2"/>
        </w:tc>
        <w:tc>
          <w:tcPr>
            <w:tcW w:w="175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55f304c" w:id="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算法</w:t>
            </w:r>
          </w:p>
          <w:bookmarkEnd w:id="3"/>
        </w:tc>
        <w:tc>
          <w:tcPr>
            <w:tcW w:w="1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9028ad7" w:id="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数据集</w:t>
            </w:r>
          </w:p>
          <w:bookmarkEnd w:id="4"/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1c95696" w:id="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任务</w:t>
            </w:r>
          </w:p>
          <w:bookmarkEnd w:id="5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ca38591" w:id="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评价指标</w:t>
            </w:r>
          </w:p>
          <w:bookmarkEnd w:id="6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8c8c8c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55006c3" w:id="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结果坐标系</w:t>
            </w:r>
          </w:p>
          <w:bookmarkEnd w:id="7"/>
        </w:tc>
      </w:tr>
      <w:tr>
        <w:trPr>
          <w:trHeight w:val="555" w:hRule="atLeast"/>
        </w:trPr>
        <w:tc>
          <w:tcPr>
            <w:tcW w:w="2541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472249f" w:id="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后融合</w:t>
            </w:r>
          </w:p>
          <w:bookmarkEnd w:id="8"/>
        </w:tc>
        <w:tc>
          <w:tcPr>
            <w:tcW w:w="1756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9aaf5b1" w:id="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YOLOP</w:t>
            </w:r>
          </w:p>
          <w:bookmarkEnd w:id="9"/>
        </w:tc>
        <w:tc>
          <w:tcPr>
            <w:tcW w:w="1937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7170d54" w:id="1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BDD100K</w:t>
            </w:r>
          </w:p>
          <w:bookmarkEnd w:id="10"/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624f973" w:id="1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2D目标检测</w:t>
            </w:r>
          </w:p>
          <w:bookmarkEnd w:id="11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c3ba9fc" w:id="1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recall mAP</w:t>
            </w:r>
          </w:p>
          <w:bookmarkEnd w:id="12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4c769a9" w:id="1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2D图像坐标系</w:t>
            </w:r>
          </w:p>
          <w:bookmarkEnd w:id="13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90a8616" w:id="1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2D车道线分割</w:t>
            </w:r>
          </w:p>
          <w:bookmarkEnd w:id="14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794cbfb" w:id="1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5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1d2c7ce" w:id="1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2D图像坐标系</w:t>
            </w:r>
          </w:p>
          <w:bookmarkEnd w:id="16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c2395c7" w:id="1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可行驶区域分割</w:t>
            </w:r>
          </w:p>
          <w:bookmarkEnd w:id="17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1da4fcf" w:id="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8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5c5ab43" w:id="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2D图像坐标系</w:t>
            </w:r>
          </w:p>
          <w:bookmarkEnd w:id="19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175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609d6a3" w:id="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FCOS3D</w:t>
            </w:r>
          </w:p>
          <w:bookmarkEnd w:id="20"/>
        </w:tc>
        <w:tc>
          <w:tcPr>
            <w:tcW w:w="1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de724c8" w:id="2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21"/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1dc1350" w:id="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3D目标检测</w:t>
            </w:r>
          </w:p>
          <w:bookmarkEnd w:id="22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2fb4c96" w:id="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mAP NDS</w:t>
            </w:r>
          </w:p>
          <w:bookmarkEnd w:id="23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92020a2" w:id="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3D雷达坐标系</w:t>
            </w:r>
          </w:p>
          <w:bookmarkEnd w:id="24"/>
        </w:tc>
      </w:tr>
      <w:tr>
        <w:trPr>
          <w:trHeight w:val="495" w:hRule="atLeast"/>
        </w:trPr>
        <w:tc>
          <w:tcPr>
            <w:tcW w:w="254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67860ab" w:id="2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BEV</w:t>
            </w:r>
          </w:p>
          <w:bookmarkEnd w:id="25"/>
        </w:tc>
        <w:tc>
          <w:tcPr>
            <w:tcW w:w="175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b7547d8" w:id="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LSSDet</w:t>
            </w:r>
          </w:p>
          <w:bookmarkEnd w:id="26"/>
        </w:tc>
        <w:tc>
          <w:tcPr>
            <w:tcW w:w="193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b180efb" w:id="2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27"/>
        </w:tc>
        <w:tc>
          <w:tcPr>
            <w:tcW w:w="26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af8d016" w:id="2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3D目标检测</w:t>
            </w:r>
          </w:p>
          <w:bookmarkEnd w:id="28"/>
        </w:tc>
        <w:tc>
          <w:tcPr>
            <w:tcW w:w="238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c5e292f" w:id="2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mAP NDS</w:t>
            </w:r>
          </w:p>
          <w:bookmarkEnd w:id="29"/>
        </w:tc>
        <w:tc>
          <w:tcPr>
            <w:tcW w:w="23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6d0cd59" w:id="3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3D雷达坐标系</w:t>
            </w:r>
          </w:p>
          <w:bookmarkEnd w:id="30"/>
        </w:tc>
      </w:tr>
    </w:tbl>
    <w:bookmarkEnd w:id="1"/>
    <w:bookmarkStart w:name="k4hTM" w:id="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对比目标</w:t>
      </w:r>
    </w:p>
    <w:bookmarkEnd w:id="31"/>
    <w:bookmarkStart w:name="ldyLA" w:id="3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易航方案</w:t>
      </w:r>
    </w:p>
    <w:bookmarkEnd w:id="32"/>
    <w:bookmarkStart w:name="uab18d1a0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如下图所示，易航的方案会采用多任务的方式减少计算，最终输出检测内容</w:t>
      </w:r>
      <w:r>
        <w:rPr>
          <w:rFonts w:ascii="宋体" w:hAnsi="Times New Roman" w:eastAsia="宋体"/>
          <w:b w:val="false"/>
          <w:i w:val="false"/>
          <w:color w:val="1890ff"/>
          <w:sz w:val="22"/>
        </w:rPr>
        <w:t>2D目标，相应属性，3D目标框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；分割到出</w:t>
      </w:r>
      <w:r>
        <w:rPr>
          <w:rFonts w:ascii="宋体" w:hAnsi="Times New Roman" w:eastAsia="宋体"/>
          <w:b w:val="false"/>
          <w:i w:val="false"/>
          <w:color w:val="9254de"/>
          <w:sz w:val="22"/>
        </w:rPr>
        <w:t>车道线区域，路沿，路上区域，背景区域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。</w:t>
      </w:r>
    </w:p>
    <w:bookmarkEnd w:id="33"/>
    <w:bookmarkStart w:name="u7a5d93cd" w:id="34"/>
    <w:p>
      <w:pPr>
        <w:spacing w:after="50" w:line="360" w:lineRule="auto" w:beforeLines="100"/>
        <w:ind w:left="0"/>
        <w:jc w:val="left"/>
      </w:pPr>
      <w:bookmarkStart w:name="u2dc92c9c" w:id="35"/>
      <w:r>
        <w:rPr>
          <w:rFonts w:eastAsia="宋体" w:ascii="宋体"/>
        </w:rPr>
        <w:drawing>
          <wp:inline distT="0" distB="0" distL="0" distR="0">
            <wp:extent cx="5841999" cy="32886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4"/>
    <w:bookmarkStart w:name="sVF6k" w:id="3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单目相机融合的问题：</w:t>
      </w:r>
    </w:p>
    <w:bookmarkEnd w:id="36"/>
    <w:bookmarkStart w:name="u07948a3a" w:id="3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4"/>
        </w:rPr>
        <w:t>图像到向量空间中映射偏差、离相机距离近的特征点密集，远的离散，导致预测车道线等不连续。</w:t>
      </w:r>
    </w:p>
    <w:bookmarkEnd w:id="37"/>
    <w:bookmarkStart w:name="uecaf772a" w:id="38"/>
    <w:p>
      <w:pPr>
        <w:spacing w:after="50" w:line="360" w:lineRule="auto" w:beforeLines="100"/>
        <w:ind w:left="0"/>
        <w:jc w:val="center"/>
      </w:pPr>
      <w:bookmarkStart w:name="ub69832d5" w:id="39"/>
      <w:r>
        <w:rPr>
          <w:rFonts w:eastAsia="宋体" w:ascii="宋体"/>
        </w:rPr>
        <w:drawing>
          <wp:inline distT="0" distB="0" distL="0" distR="0">
            <wp:extent cx="4521200" cy="28256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bookmarkStart w:name="u6ae4c449" w:id="40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4"/>
        </w:rPr>
        <w:t>由于位置偏差看到的都是目标的局部信息，无法判断属于同一目标。</w:t>
      </w:r>
      <w:r>
        <w:rPr>
          <w:rFonts w:ascii="宋体" w:hAnsi="Times New Roman" w:eastAsia="宋体"/>
          <w:b/>
          <w:i w:val="false"/>
          <w:color w:val="e8323c"/>
          <w:sz w:val="24"/>
        </w:rPr>
        <w:t>毕竟不是同一个网络输出的对同一个目标的预测</w:t>
      </w:r>
    </w:p>
    <w:bookmarkEnd w:id="40"/>
    <w:bookmarkStart w:name="u70c4e908" w:id="41"/>
    <w:p>
      <w:pPr>
        <w:spacing w:after="50" w:line="360" w:lineRule="auto" w:beforeLines="100"/>
        <w:ind w:left="0"/>
        <w:jc w:val="center"/>
      </w:pPr>
      <w:bookmarkStart w:name="ua7b5248a" w:id="42"/>
      <w:r>
        <w:rPr>
          <w:rFonts w:eastAsia="宋体" w:ascii="宋体"/>
        </w:rPr>
        <w:drawing>
          <wp:inline distT="0" distB="0" distL="0" distR="0">
            <wp:extent cx="4521200" cy="28256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bookmarkStart w:name="uc5c9f3df" w:id="43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4"/>
        </w:rPr>
        <w:t>图表示的是单相机检测结果融合与多相机特征融合的检测结果比较。可见单相机检测结果融合(黄色)由于角度偏差预测的结果不准确；而多相机(蓝色)特征的融合检测结果更加准确(避免多个相机检测结果融合的不确定性)。</w:t>
      </w:r>
    </w:p>
    <w:bookmarkEnd w:id="43"/>
    <w:bookmarkStart w:name="u8a0ee870" w:id="44"/>
    <w:p>
      <w:pPr>
        <w:spacing w:after="50" w:line="360" w:lineRule="auto" w:beforeLines="100"/>
        <w:ind w:left="0"/>
        <w:jc w:val="center"/>
      </w:pPr>
      <w:bookmarkStart w:name="uf80448c3" w:id="45"/>
      <w:r>
        <w:rPr>
          <w:rFonts w:eastAsia="宋体" w:ascii="宋体"/>
        </w:rPr>
        <w:drawing>
          <wp:inline distT="0" distB="0" distL="0" distR="0">
            <wp:extent cx="4622800" cy="28887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Xbrat" w:id="4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对比方案：</w:t>
      </w:r>
    </w:p>
    <w:bookmarkEnd w:id="46"/>
    <w:bookmarkStart w:name="Vwxed" w:id="4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3D目标检测</w:t>
      </w:r>
    </w:p>
    <w:bookmarkEnd w:id="47"/>
    <w:bookmarkStart w:name="bnIo0" w:id="48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3664"/>
        <w:gridCol w:w="4990"/>
        <w:gridCol w:w="4980"/>
      </w:tblGrid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0628515" w:id="4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算法</w:t>
            </w:r>
          </w:p>
          <w:bookmarkEnd w:id="49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171eb99" w:id="5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LSSDet</w:t>
            </w:r>
          </w:p>
          <w:bookmarkEnd w:id="50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90f0696" w:id="5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FCOS3D</w:t>
            </w:r>
          </w:p>
          <w:bookmarkEnd w:id="51"/>
        </w:tc>
      </w:tr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db9d4de" w:id="5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数据集</w:t>
            </w:r>
          </w:p>
          <w:bookmarkEnd w:id="52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b0c24e5" w:id="5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53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a00cb56" w:id="5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54"/>
        </w:tc>
      </w:tr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ae98e37" w:id="5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input</w:t>
            </w:r>
          </w:p>
          <w:bookmarkEnd w:id="55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e065dee" w:id="5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6,3,256,704</w:t>
            </w:r>
          </w:p>
          <w:bookmarkEnd w:id="56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513c4c3" w:id="5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3,1600</w:t>
            </w:r>
            <w:r>
              <w:rPr>
                <w:rFonts w:ascii="宋体" w:hAnsi="Times New Roman" w:eastAsia="宋体"/>
                <w:b w:val="false"/>
                <w:i w:val="false"/>
                <w:color w:val="24292f"/>
                <w:sz w:val="22"/>
              </w:rPr>
              <w:t xml:space="preserve">, 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900</w:t>
            </w:r>
          </w:p>
          <w:bookmarkEnd w:id="57"/>
        </w:tc>
      </w:tr>
      <w:tr>
        <w:trPr>
          <w:trHeight w:val="55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94b5856" w:id="5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backbone</w:t>
            </w:r>
          </w:p>
          <w:bookmarkEnd w:id="58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a3315fa" w:id="5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59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f9caacb" w:id="6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Resnet-101</w:t>
            </w:r>
          </w:p>
          <w:bookmarkEnd w:id="60"/>
        </w:tc>
      </w:tr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3a16291" w:id="6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NECK</w:t>
            </w:r>
          </w:p>
          <w:bookmarkEnd w:id="61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f173f47" w:id="6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FPN</w:t>
            </w:r>
          </w:p>
          <w:bookmarkEnd w:id="62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7c98bfe" w:id="6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FPN</w:t>
            </w:r>
          </w:p>
          <w:bookmarkEnd w:id="63"/>
        </w:tc>
      </w:tr>
      <w:tr>
        <w:trPr>
          <w:trHeight w:val="55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fcc0cdd" w:id="6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output</w:t>
            </w:r>
          </w:p>
          <w:bookmarkEnd w:id="64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6c6a45b" w:id="6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物体类别</w:t>
            </w:r>
          </w:p>
          <w:bookmarkEnd w:id="65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52e3232" w:id="6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物体类别</w:t>
            </w:r>
          </w:p>
          <w:bookmarkEnd w:id="66"/>
        </w:tc>
      </w:tr>
      <w:tr>
        <w:trPr>
          <w:trHeight w:val="55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6b6484a" w:id="6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3D位置</w:t>
            </w:r>
          </w:p>
          <w:bookmarkEnd w:id="67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2bbecef" w:id="6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3D位置</w:t>
            </w:r>
          </w:p>
          <w:bookmarkEnd w:id="68"/>
        </w:tc>
      </w:tr>
      <w:tr>
        <w:trPr>
          <w:trHeight w:val="55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19d5c1c" w:id="6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策略</w:t>
            </w:r>
          </w:p>
          <w:bookmarkEnd w:id="69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cbed86e" w:id="7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基于BEV</w:t>
            </w:r>
          </w:p>
          <w:bookmarkEnd w:id="70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532a3c0" w:id="7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后融合</w:t>
            </w:r>
          </w:p>
          <w:bookmarkEnd w:id="71"/>
        </w:tc>
      </w:tr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be03b27" w:id="7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对比指标</w:t>
            </w:r>
          </w:p>
          <w:bookmarkEnd w:id="72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a7d2492" w:id="7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mAP</w:t>
            </w:r>
          </w:p>
          <w:bookmarkEnd w:id="73"/>
          <w:bookmarkStart w:name="u299d8cae" w:id="7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NDS</w:t>
            </w:r>
          </w:p>
          <w:bookmarkEnd w:id="74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a49fc43" w:id="7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mAP</w:t>
            </w:r>
          </w:p>
          <w:bookmarkEnd w:id="75"/>
          <w:bookmarkStart w:name="uc1fffea7" w:id="7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NDS</w:t>
            </w:r>
          </w:p>
          <w:bookmarkEnd w:id="76"/>
        </w:tc>
      </w:tr>
      <w:tr>
        <w:trPr>
          <w:trHeight w:val="495" w:hRule="atLeast"/>
        </w:trPr>
        <w:tc>
          <w:tcPr>
            <w:tcW w:w="366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477644e" w:id="7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同一维度显示对比</w:t>
            </w:r>
          </w:p>
          <w:bookmarkEnd w:id="77"/>
        </w:tc>
        <w:tc>
          <w:tcPr>
            <w:tcW w:w="49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45e1d19" w:id="7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输出BEV视角下的数据</w:t>
            </w:r>
          </w:p>
          <w:bookmarkEnd w:id="78"/>
        </w:tc>
        <w:tc>
          <w:tcPr>
            <w:tcW w:w="49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ed27b2f" w:id="7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6张图推理后，通过相机外参都统一到BEV视角下来统一显示</w:t>
            </w:r>
          </w:p>
          <w:bookmarkEnd w:id="79"/>
        </w:tc>
      </w:tr>
    </w:tbl>
    <w:bookmarkEnd w:id="48"/>
    <w:bookmarkStart w:name="ubc47266c" w:id="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在同等算力对比需要进一步的工作：</w:t>
      </w:r>
    </w:p>
    <w:bookmarkEnd w:id="80"/>
    <w:bookmarkStart w:name="u31608f35" w:id="81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需要修改FCOS3D的backbone为Efficientnet-b3，并在nuScenes数据上训练。</w:t>
      </w:r>
    </w:p>
    <w:bookmarkEnd w:id="81"/>
    <w:bookmarkStart w:name="u11879104" w:id="82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和LSSDet的BEV感知对比，对比mAP+NDS指标。</w:t>
      </w:r>
    </w:p>
    <w:bookmarkEnd w:id="82"/>
    <w:bookmarkStart w:name="uc3baa58e" w:id="83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运行两种感知方式的demo，FCOS3D需要将6张图像变换到BEV视角和自研架构进行显式对比。</w:t>
      </w:r>
    </w:p>
    <w:bookmarkEnd w:id="83"/>
    <w:bookmarkStart w:name="Xo7S3" w:id="8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车道线分割</w:t>
      </w:r>
    </w:p>
    <w:bookmarkEnd w:id="84"/>
    <w:bookmarkStart w:name="JxiNm" w:id="85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4485"/>
        <w:gridCol w:w="4595"/>
        <w:gridCol w:w="4554"/>
      </w:tblGrid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b498857" w:id="8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算法</w:t>
            </w:r>
          </w:p>
          <w:bookmarkEnd w:id="86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b1cdf2d" w:id="8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LSS-Seg</w:t>
            </w:r>
          </w:p>
          <w:bookmarkEnd w:id="87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f0ba2af" w:id="8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YOLOP</w:t>
            </w:r>
          </w:p>
          <w:bookmarkEnd w:id="88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25ebffe" w:id="8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数据集</w:t>
            </w:r>
          </w:p>
          <w:bookmarkEnd w:id="89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048b455" w:id="9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90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e6fe059" w:id="9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91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d50c9b7" w:id="9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input</w:t>
            </w:r>
          </w:p>
          <w:bookmarkEnd w:id="92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b63f8ac" w:id="9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6,3,256,704</w:t>
            </w:r>
          </w:p>
          <w:bookmarkEnd w:id="93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09f5be8" w:id="9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3,640,640</w:t>
            </w:r>
          </w:p>
          <w:bookmarkEnd w:id="94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7884f1d" w:id="9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backbone</w:t>
            </w:r>
          </w:p>
          <w:bookmarkEnd w:id="95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678cc18" w:id="9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96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57b70e7" w:id="9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1a1a1a"/>
                <w:sz w:val="22"/>
              </w:rPr>
              <w:t>CSPDarkNet</w:t>
            </w:r>
          </w:p>
          <w:bookmarkEnd w:id="97"/>
        </w:tc>
      </w:tr>
      <w:tr>
        <w:trPr>
          <w:trHeight w:val="495" w:hRule="atLeast"/>
        </w:trPr>
        <w:tc>
          <w:tcPr>
            <w:tcW w:w="4485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7bb1788" w:id="9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output</w:t>
            </w:r>
          </w:p>
          <w:bookmarkEnd w:id="98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9b15e80" w:id="9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BEV车道线</w:t>
            </w:r>
          </w:p>
          <w:bookmarkEnd w:id="99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ee7072a" w:id="10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2D车道线</w:t>
            </w:r>
          </w:p>
          <w:bookmarkEnd w:id="100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a2edf3e" w:id="10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  <w:bookmarkEnd w:id="101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31a73ad" w:id="10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2D可行驶区域</w:t>
            </w:r>
          </w:p>
          <w:bookmarkEnd w:id="102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bbee897" w:id="10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策略</w:t>
            </w:r>
          </w:p>
          <w:bookmarkEnd w:id="103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c1c8434" w:id="10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基于BEV</w:t>
            </w:r>
          </w:p>
          <w:bookmarkEnd w:id="104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e3139e6" w:id="10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后融合</w:t>
            </w:r>
          </w:p>
          <w:bookmarkEnd w:id="105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ce985e2" w:id="10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对比指标</w:t>
            </w:r>
          </w:p>
          <w:bookmarkEnd w:id="106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bc40922" w:id="10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07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8024685" w:id="10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08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955df99" w:id="10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同一维度显示对比</w:t>
            </w:r>
          </w:p>
          <w:bookmarkEnd w:id="109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a705bf2" w:id="11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输出BEV视角下的车道线</w:t>
            </w:r>
          </w:p>
          <w:bookmarkEnd w:id="110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a201c5d" w:id="11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6张图推理后，通过相机外参都统一到BEV视角下来统一显示</w:t>
            </w:r>
          </w:p>
          <w:bookmarkEnd w:id="111"/>
        </w:tc>
      </w:tr>
    </w:tbl>
    <w:bookmarkEnd w:id="85"/>
    <w:bookmarkStart w:name="u0d24e3ba" w:id="1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在同等算力对比需要进一步的工作：</w:t>
      </w:r>
    </w:p>
    <w:bookmarkEnd w:id="112"/>
    <w:bookmarkStart w:name="uad1ad571" w:id="113"/>
    <w:p>
      <w:pPr>
        <w:numPr>
          <w:ilvl w:val="1"/>
          <w:numId w:val="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借助pytorch工具评估两个模型flops的算力。差不多的话就不修改。</w:t>
      </w:r>
    </w:p>
    <w:bookmarkEnd w:id="113"/>
    <w:bookmarkStart w:name="uc3d69466" w:id="114"/>
    <w:p>
      <w:pPr>
        <w:numPr>
          <w:ilvl w:val="1"/>
          <w:numId w:val="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通过nuScenes数据制作YOLOP格式的训练数据，训练新模型。主要是因为原版的模型和数据没有图像坐标变换到BEV的对应关系。</w:t>
      </w:r>
    </w:p>
    <w:bookmarkEnd w:id="114"/>
    <w:bookmarkStart w:name="ubc2eabea" w:id="115"/>
    <w:p>
      <w:pPr>
        <w:numPr>
          <w:ilvl w:val="1"/>
          <w:numId w:val="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和LSS-seg的BEV感知对比，对比mIOU指标。</w:t>
      </w:r>
    </w:p>
    <w:bookmarkEnd w:id="115"/>
    <w:bookmarkStart w:name="ub4e21e14" w:id="116"/>
    <w:p>
      <w:pPr>
        <w:numPr>
          <w:ilvl w:val="1"/>
          <w:numId w:val="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运行两种感知方式的demo，YOLOP需要将6张图像的结果变换到BEV视角和LSS-seg进行显式对比。</w:t>
      </w:r>
    </w:p>
    <w:bookmarkEnd w:id="116"/>
    <w:bookmarkStart w:name="ubd19c674" w:id="1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backbone 更改后的模型</w:t>
      </w:r>
    </w:p>
    <w:bookmarkEnd w:id="117"/>
    <w:bookmarkStart w:name="orLhe" w:id="118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4485"/>
        <w:gridCol w:w="4595"/>
        <w:gridCol w:w="4554"/>
      </w:tblGrid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3c53431" w:id="1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算法</w:t>
            </w:r>
          </w:p>
          <w:bookmarkEnd w:id="119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11d6d74" w:id="1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LSS-Seg</w:t>
            </w:r>
          </w:p>
          <w:bookmarkEnd w:id="120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cfcc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8a54201" w:id="12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YOLOP</w:t>
            </w:r>
          </w:p>
          <w:bookmarkEnd w:id="121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259fa3c" w:id="1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数据集</w:t>
            </w:r>
          </w:p>
          <w:bookmarkEnd w:id="122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6ad5ea8" w:id="1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123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910c1a5" w:id="1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nuScenes</w:t>
            </w:r>
          </w:p>
          <w:bookmarkEnd w:id="124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41b3d4b" w:id="12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input</w:t>
            </w:r>
          </w:p>
          <w:bookmarkEnd w:id="125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14ea484" w:id="1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6,3,256,704</w:t>
            </w:r>
          </w:p>
          <w:bookmarkEnd w:id="126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8fa3dd5" w:id="12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3,640,640</w:t>
            </w:r>
          </w:p>
          <w:bookmarkEnd w:id="127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749ed06" w:id="12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backbone</w:t>
            </w:r>
          </w:p>
          <w:bookmarkEnd w:id="128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eea1bc5" w:id="12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129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dbd072b" w:id="13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1a1a1a"/>
                <w:sz w:val="22"/>
              </w:rPr>
              <w:t>CSPDarkNet</w:t>
            </w:r>
          </w:p>
          <w:bookmarkEnd w:id="130"/>
        </w:tc>
      </w:tr>
      <w:tr>
        <w:trPr>
          <w:trHeight w:val="495" w:hRule="atLeast"/>
        </w:trPr>
        <w:tc>
          <w:tcPr>
            <w:tcW w:w="4485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57596f7" w:id="13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output</w:t>
            </w:r>
          </w:p>
          <w:bookmarkEnd w:id="131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eea5b64" w:id="13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BEV车道线</w:t>
            </w:r>
          </w:p>
          <w:bookmarkEnd w:id="132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9c1f59f" w:id="13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2D车道线</w:t>
            </w:r>
          </w:p>
          <w:bookmarkEnd w:id="133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6c9fa78" w:id="13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  <w:bookmarkEnd w:id="134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95b720e" w:id="13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2D可行驶区域</w:t>
            </w:r>
          </w:p>
          <w:bookmarkEnd w:id="135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4e6f516" w:id="13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策略</w:t>
            </w:r>
          </w:p>
          <w:bookmarkEnd w:id="136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d3cc879" w:id="13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基于BEV</w:t>
            </w:r>
          </w:p>
          <w:bookmarkEnd w:id="137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9b7a9c7" w:id="13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后融合</w:t>
            </w:r>
          </w:p>
          <w:bookmarkEnd w:id="138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0fec9a7" w:id="13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对比指标</w:t>
            </w:r>
          </w:p>
          <w:bookmarkEnd w:id="139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333c4a3" w:id="14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40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9823a3c" w:id="14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mIOU</w:t>
            </w:r>
          </w:p>
          <w:bookmarkEnd w:id="141"/>
        </w:tc>
      </w:tr>
      <w:tr>
        <w:trPr>
          <w:trHeight w:val="495" w:hRule="atLeast"/>
        </w:trPr>
        <w:tc>
          <w:tcPr>
            <w:tcW w:w="448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f1cd553" w:id="14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同一维度显示对比</w:t>
            </w:r>
          </w:p>
          <w:bookmarkEnd w:id="142"/>
        </w:tc>
        <w:tc>
          <w:tcPr>
            <w:tcW w:w="459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5cd4dd7" w:id="14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输出BEV视角下的车道线</w:t>
            </w:r>
          </w:p>
          <w:bookmarkEnd w:id="143"/>
        </w:tc>
        <w:tc>
          <w:tcPr>
            <w:tcW w:w="455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5b3694e" w:id="14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6张图推理后，通过相机外参都统一到BEV视角下来统一显示</w:t>
            </w:r>
          </w:p>
          <w:bookmarkEnd w:id="144"/>
        </w:tc>
      </w:tr>
    </w:tbl>
    <w:bookmarkEnd w:id="118"/>
    <w:bookmarkStart w:name="cPID7" w:id="14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全部和YOLOP对比</w:t>
      </w:r>
    </w:p>
    <w:bookmarkEnd w:id="145"/>
    <w:bookmarkStart w:name="u65f6e876" w:id="1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在同等算力对比需要进一步的工作：</w:t>
      </w:r>
    </w:p>
    <w:bookmarkEnd w:id="146"/>
    <w:bookmarkStart w:name="u0d1bebda" w:id="147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通过nuScenes数据制作YOLOP格式的车道线和2D框的训练数据，训练新模型。主要是因为原版的模型和数据没有图像坐标变换到BEV的对应关系。</w:t>
      </w:r>
    </w:p>
    <w:bookmarkEnd w:id="147"/>
    <w:bookmarkStart w:name="u995d1b4c" w:id="148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和BEV感知对比，对比各项指标。</w:t>
      </w:r>
    </w:p>
    <w:bookmarkEnd w:id="148"/>
    <w:bookmarkStart w:name="ud334d860" w:id="149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运行两种感知方式的demo，YOLOP需要将6张图像的结果变换到BEV视角和BEV感知进行显式对比。</w:t>
      </w:r>
    </w:p>
    <w:bookmarkEnd w:id="149"/>
    <w:bookmarkStart w:name="fnCRo" w:id="15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详细排期</w:t>
      </w:r>
    </w:p>
    <w:bookmarkEnd w:id="150"/>
    <w:bookmarkStart w:name="uc090dc40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表格链接：</w:t>
      </w: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https://yuque.antfin.com/docs/share/51ab6322-98af-4dff-ab6d-0ed19faccd0b?#</w:t>
        </w:r>
      </w:hyperlink>
    </w:p>
    <w:bookmarkEnd w:id="151"/>
    <w:bookmarkStart w:name="u308ece8e" w:id="152"/>
    <w:bookmarkEnd w:id="152"/>
    <w:bookmarkStart w:name="u464d8ee7" w:id="153"/>
    <w:bookmarkEnd w:id="153"/>
    <w:bookmarkStart w:name="udfdd421c" w:id="154"/>
    <w:bookmarkEnd w:id="15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5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6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https://yuque.antfin.com/docs/share/51ab6322-98af-4dff-ab6d-0ed19faccd0b?#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