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系统架构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gAXQ8" w:id="0"/>
      <w:r>
        <w:rPr>
          <w:rFonts w:ascii="宋体" w:hAnsi="Times New Roman" w:eastAsia="宋体"/>
        </w:rPr>
        <w:t>一，DMS1.0 UML图</w:t>
      </w:r>
    </w:p>
    <w:bookmarkEnd w:id="0"/>
    <w:bookmarkStart w:name="fv6NV" w:id="1"/>
    <w:p>
      <w:pPr>
        <w:spacing w:line="360" w:lineRule="auto" w:beforeLines="100" w:after="50"/>
        <w:ind w:left="0"/>
      </w:pPr>
      <w:r>
        <w:rPr>
          <w:rFonts w:eastAsia="宋体" w:ascii="宋体"/>
        </w:rPr>
        <w:drawing>
          <wp:inline distT="0" distB="0" distL="0" distR="0">
            <wp:extent cx="5841999" cy="311366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43453" cy="615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