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BiSeNetV2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etxG7" w:id="0"/>
      <w:r>
        <w:rPr>
          <w:rFonts w:ascii="宋体" w:hAnsi="Times New Roman" w:eastAsia="宋体"/>
        </w:rPr>
        <w:t xml:space="preserve">1. 总览 </w:t>
      </w:r>
    </w:p>
    <w:bookmarkEnd w:id="0"/>
    <w:bookmarkStart w:name="CUXmv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语义分割网络在速度与精度上的比较：</w:t>
      </w:r>
    </w:p>
    <w:bookmarkEnd w:id="1"/>
    <w:bookmarkStart w:name="ufa0affc7" w:id="2"/>
    <w:p>
      <w:pPr>
        <w:spacing w:after="50" w:line="360" w:lineRule="auto" w:beforeLines="100"/>
        <w:ind w:left="0"/>
        <w:jc w:val="left"/>
      </w:pPr>
      <w:bookmarkStart w:name="u05352eda" w:id="3"/>
      <w:r>
        <w:rPr>
          <w:rFonts w:eastAsia="宋体" w:ascii="宋体"/>
        </w:rPr>
        <w:drawing>
          <wp:inline distT="0" distB="0" distL="0" distR="0">
            <wp:extent cx="5842000" cy="42525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8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vRKvt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语义分割不同的模型框架：</w:t>
      </w:r>
    </w:p>
    <w:bookmarkEnd w:id="4"/>
    <w:bookmarkStart w:name="PfcGA" w:id="5"/>
    <w:p>
      <w:pPr>
        <w:pStyle w:val="Heading1"/>
        <w:spacing w:after="50" w:line="360" w:lineRule="auto" w:beforeLines="100"/>
        <w:ind w:left="0"/>
        <w:jc w:val="left"/>
      </w:pPr>
      <w:bookmarkStart w:name="uc0e9b415" w:id="6"/>
      <w:r>
        <w:rPr>
          <w:rFonts w:eastAsia="宋体" w:ascii="宋体"/>
        </w:rPr>
        <w:drawing>
          <wp:inline distT="0" distB="0" distL="0" distR="0">
            <wp:extent cx="5841999" cy="28916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8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JZ1UU" w:id="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 BiSeNet V2：</w:t>
      </w:r>
    </w:p>
    <w:bookmarkEnd w:id="7"/>
    <w:bookmarkStart w:name="hgexF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相比BiSeNet的改进点：</w:t>
      </w:r>
    </w:p>
    <w:bookmarkEnd w:id="8"/>
    <w:bookmarkStart w:name="u544346c5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提出更轻量的模型结构</w:t>
      </w:r>
    </w:p>
    <w:bookmarkEnd w:id="9"/>
    <w:bookmarkStart w:name="u56383748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引入新的增强训练策略</w:t>
      </w:r>
    </w:p>
    <w:bookmarkEnd w:id="10"/>
    <w:bookmarkStart w:name="npo3M" w:id="1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网络总览：</w:t>
      </w:r>
    </w:p>
    <w:bookmarkEnd w:id="11"/>
    <w:bookmarkStart w:name="u15884238" w:id="12"/>
    <w:p>
      <w:pPr>
        <w:spacing w:after="50" w:line="360" w:lineRule="auto" w:beforeLines="100"/>
        <w:ind w:left="0"/>
        <w:jc w:val="left"/>
      </w:pPr>
      <w:bookmarkStart w:name="u4511c217" w:id="13"/>
      <w:r>
        <w:rPr>
          <w:rFonts w:eastAsia="宋体" w:ascii="宋体"/>
        </w:rPr>
        <w:drawing>
          <wp:inline distT="0" distB="0" distL="0" distR="0">
            <wp:extent cx="5841999" cy="34525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72134" cy="58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nWD8u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Detail Branch与Semantic Branch细节：</w:t>
      </w:r>
    </w:p>
    <w:bookmarkEnd w:id="14"/>
    <w:bookmarkStart w:name="u6d662ab1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Detail Branch：丰富空间信息</w:t>
      </w:r>
    </w:p>
    <w:bookmarkEnd w:id="15"/>
    <w:bookmarkStart w:name="uca8fd775" w:id="1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Semantic Branch：增大感受野</w:t>
      </w:r>
    </w:p>
    <w:bookmarkEnd w:id="16"/>
    <w:bookmarkStart w:name="uf03b8e01" w:id="17"/>
    <w:p>
      <w:pPr>
        <w:spacing w:after="50" w:line="360" w:lineRule="auto" w:beforeLines="100"/>
        <w:ind w:left="0"/>
        <w:jc w:val="left"/>
      </w:pPr>
      <w:bookmarkStart w:name="ua8a46117" w:id="18"/>
      <w:r>
        <w:rPr>
          <w:rFonts w:eastAsia="宋体" w:ascii="宋体"/>
        </w:rPr>
        <w:drawing>
          <wp:inline distT="0" distB="0" distL="0" distR="0">
            <wp:extent cx="5842000" cy="25177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0534" cy="42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7"/>
    <w:bookmarkStart w:name="u01ee64d8" w:id="19"/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