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Center-based 3D Object Detection and Tracking</w:t>
      </w:r>
    </w:p>
    <w:p>
      <w:pPr>
        <w:pStyle w:val="Heading2"/>
        <w:spacing w:after="50" w:line="360" w:lineRule="auto" w:beforeLines="100"/>
        <w:ind w:left="0"/>
        <w:jc w:val="left"/>
      </w:pPr>
      <w:bookmarkStart w:name="nZen7" w:id="0"/>
      <w:r>
        <w:rPr>
          <w:rFonts w:ascii="宋体" w:hAnsi="Times New Roman" w:eastAsia="宋体"/>
        </w:rPr>
        <w:t>论文地址</w:t>
      </w:r>
    </w:p>
    <w:bookmarkEnd w:id="0"/>
    <w:bookmarkStart w:name="u76e0d974" w:id="1"/>
    <w:p>
      <w:pPr>
        <w:spacing w:after="50" w:line="360" w:lineRule="auto" w:beforeLines="100"/>
        <w:ind w:left="0"/>
        <w:jc w:val="left"/>
      </w:pPr>
      <w:hyperlink r:id="rId4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https://arxiv.org/abs/2006.11275</w:t>
        </w:r>
      </w:hyperlink>
    </w:p>
    <w:bookmarkEnd w:id="1"/>
    <w:bookmarkStart w:name="u677b58ee" w:id="2"/>
    <w:bookmarkEnd w:id="2"/>
    <w:bookmarkStart w:name="dESHE" w:id="3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代码地址</w:t>
      </w:r>
    </w:p>
    <w:bookmarkEnd w:id="3"/>
    <w:bookmarkStart w:name="uee48becd" w:id="4"/>
    <w:p>
      <w:pPr>
        <w:spacing w:after="50" w:line="360" w:lineRule="auto" w:beforeLines="100"/>
        <w:ind w:left="0"/>
        <w:jc w:val="left"/>
      </w:pPr>
      <w:hyperlink r:id="rId5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https://github.com/tianweiy/CenterPoint</w:t>
        </w:r>
      </w:hyperlink>
    </w:p>
    <w:bookmarkEnd w:id="4"/>
    <w:bookmarkStart w:name="u20f83bf6" w:id="5"/>
    <w:bookmarkEnd w:id="5"/>
    <w:bookmarkStart w:name="TmurW" w:id="6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模型架构</w:t>
      </w:r>
    </w:p>
    <w:bookmarkEnd w:id="6"/>
    <w:bookmarkStart w:name="pHMOZ" w:id="7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思考</w:t>
      </w:r>
    </w:p>
    <w:bookmarkEnd w:id="7"/>
    <w:bookmarkStart w:name="u2178238b" w:id="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基于点云的3D目标检测的问题</w:t>
      </w:r>
    </w:p>
    <w:bookmarkEnd w:id="8"/>
    <w:bookmarkStart w:name="ue8bf511d" w:id="9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4d4d4d"/>
          <w:sz w:val="22"/>
        </w:rPr>
        <w:t>点云更稀疏，在空间中有很多地方是没有点的，也就没有原始特征</w:t>
      </w:r>
    </w:p>
    <w:bookmarkEnd w:id="9"/>
    <w:bookmarkStart w:name="u90267b28" w:id="10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4d4d4d"/>
          <w:sz w:val="22"/>
        </w:rPr>
        <w:t>3D Box是不与坐标系平行的，起码在xy坐标轴方向是不平行的。不像2D Box，总是一个水平的长方形</w:t>
      </w:r>
    </w:p>
    <w:bookmarkEnd w:id="10"/>
    <w:bookmarkStart w:name="u52f68fab" w:id="11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4d4d4d"/>
          <w:sz w:val="22"/>
        </w:rPr>
        <w:t>3D Box尺寸变化大</w:t>
      </w:r>
    </w:p>
    <w:bookmarkEnd w:id="11"/>
    <w:bookmarkStart w:name="u94b8f717" w:id="12"/>
    <w:p>
      <w:pPr>
        <w:spacing w:after="50" w:line="360" w:lineRule="auto" w:beforeLines="100"/>
        <w:ind w:left="0"/>
        <w:jc w:val="center"/>
      </w:pPr>
      <w:bookmarkStart w:name="u659df26a" w:id="13"/>
      <w:r>
        <w:rPr>
          <w:rFonts w:eastAsia="宋体" w:ascii="宋体"/>
        </w:rPr>
        <w:drawing>
          <wp:inline distT="0" distB="0" distL="0" distR="0">
            <wp:extent cx="4707467" cy="430347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7467" cy="43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bookmarkEnd w:id="12"/>
    <w:bookmarkStart w:name="u3f2ff285" w:id="14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Previous anchor-based methods use axis-aligned anchors with respect to ego-vehicle coordinate. When the vehicle is driving in straight roads, both anchorbased and the center-based method are able to detect objects accurately (top). However, during a safety-critical left turn (bottom), anchor-based methods have difficulty fitting axisaligned bounding boxes to rotated objects. The center-based model accurately detect objects through rotationally invariant points. Best viewed in color. </w:t>
      </w:r>
    </w:p>
    <w:bookmarkEnd w:id="14"/>
    <w:bookmarkStart w:name="u3a2472c4" w:id="15"/>
    <w:bookmarkEnd w:id="15"/>
    <w:bookmarkStart w:name="uab64034b" w:id="1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使用</w:t>
      </w:r>
      <w:r>
        <w:rPr>
          <w:rFonts w:ascii="宋体" w:hAnsi="Times New Roman" w:eastAsia="宋体"/>
          <w:b w:val="false"/>
          <w:i w:val="false"/>
          <w:color w:val="4d4d4d"/>
          <w:sz w:val="22"/>
        </w:rPr>
        <w:t>与坐标轴平行的anchor会带来额外的计算负担和潜在的大量的假阳性的检测：</w:t>
      </w:r>
    </w:p>
    <w:bookmarkEnd w:id="16"/>
    <w:bookmarkStart w:name="u326322be" w:id="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4d4d4d"/>
          <w:sz w:val="22"/>
        </w:rPr>
        <w:t>额外的计算</w:t>
      </w:r>
      <w:r>
        <w:rPr>
          <w:rFonts w:ascii="宋体" w:hAnsi="Times New Roman" w:eastAsia="宋体"/>
          <w:b w:val="false"/>
          <w:i w:val="false"/>
          <w:color w:val="4d4d4d"/>
          <w:sz w:val="22"/>
        </w:rPr>
        <w:t>: 如果使用anchor，就要对角度也进行枚举，在PV-RCNN中就设置了0度和90度两种anchor，这相当于把某些层的计算量增加了一倍</w:t>
      </w:r>
    </w:p>
    <w:bookmarkEnd w:id="17"/>
    <w:bookmarkStart w:name="ub4c0d119" w:id="1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假阳性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: 某些与anchor有较大IOU的预测结果，与GT之间的IOU并不大，因为anchor是平行于坐标轴的，并不存在角度</w:t>
      </w:r>
    </w:p>
    <w:bookmarkEnd w:id="18"/>
    <w:bookmarkStart w:name="uf0cb0e04" w:id="19"/>
    <w:bookmarkEnd w:id="19"/>
    <w:bookmarkStart w:name="ue0c1227b" w:id="2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自然表明基于anchor的3D检测效果并不好，因此引入Point来代替Object</w:t>
      </w:r>
    </w:p>
    <w:bookmarkEnd w:id="20"/>
    <w:bookmarkStart w:name="u7d1de351" w:id="21"/>
    <w:bookmarkEnd w:id="21"/>
    <w:bookmarkStart w:name="UsY6X" w:id="22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模型架构</w:t>
      </w:r>
    </w:p>
    <w:bookmarkEnd w:id="22"/>
    <w:bookmarkStart w:name="u6924f5bb" w:id="23"/>
    <w:p>
      <w:pPr>
        <w:spacing w:after="50" w:line="360" w:lineRule="auto" w:beforeLines="100"/>
        <w:ind w:left="0"/>
        <w:jc w:val="left"/>
      </w:pPr>
      <w:bookmarkStart w:name="ue15102ee" w:id="24"/>
      <w:r>
        <w:rPr>
          <w:rFonts w:eastAsia="宋体" w:ascii="宋体"/>
        </w:rPr>
        <w:drawing>
          <wp:inline distT="0" distB="0" distL="0" distR="0">
            <wp:extent cx="5842000" cy="289749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33466" cy="472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bookmarkEnd w:id="23"/>
    <w:bookmarkStart w:name="ube091468" w:id="2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第一阶段，模型为每个类别输出一张热度图，目标就在热度图的局部最大点上，同时预测出Box的</w:t>
      </w:r>
      <w:r>
        <w:rPr>
          <w:rFonts w:ascii="宋体" w:hAnsi="Times New Roman" w:eastAsia="宋体"/>
          <w:b/>
          <w:i w:val="false"/>
          <w:color w:val="000000"/>
          <w:sz w:val="22"/>
        </w:rPr>
        <w:t>方向、Size、目标速度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(用于跟踪)，第二阶段，根据检测到的Box附近的特征再进行一次更细致的预测，同时包含Score置信度</w:t>
      </w:r>
    </w:p>
    <w:bookmarkEnd w:id="25"/>
    <w:bookmarkStart w:name="u4fd439a4" w:id="26"/>
    <w:p>
      <w:pPr>
        <w:spacing w:after="50" w:line="360" w:lineRule="auto" w:beforeLines="100"/>
        <w:ind w:left="0"/>
        <w:jc w:val="left"/>
      </w:pPr>
      <w:bookmarkStart w:name="uc8816fbb" w:id="27"/>
      <w:r>
        <w:rPr>
          <w:rFonts w:eastAsia="宋体" w:ascii="宋体"/>
        </w:rPr>
        <w:drawing>
          <wp:inline distT="0" distB="0" distL="0" distR="0">
            <wp:extent cx="5841999" cy="182250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98934" cy="262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bookmarkEnd w:id="26"/>
    <w:bookmarkStart w:name="x22fo" w:id="28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4f4f4f"/>
        </w:rPr>
        <w:t>Target Heatmap</w:t>
      </w:r>
    </w:p>
    <w:bookmarkEnd w:id="28"/>
    <w:bookmarkStart w:name="u2a74c049" w:id="2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4d4d4d"/>
          <w:sz w:val="22"/>
        </w:rPr>
        <w:t>热力图：</w:t>
      </w:r>
      <w:bookmarkStart w:name="u9489be98" w:id="30"/>
      <w:r>
        <w:rPr>
          <w:rFonts w:eastAsia="宋体" w:ascii="宋体"/>
        </w:rPr>
        <w:drawing>
          <wp:inline distT="0" distB="0" distL="0" distR="0">
            <wp:extent cx="982133" cy="20714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2133" cy="20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  <w:r>
        <w:rPr>
          <w:rFonts w:ascii="宋体" w:hAnsi="Times New Roman" w:eastAsia="宋体"/>
          <w:b w:val="false"/>
          <w:i/>
          <w:color w:val="4d4d4d"/>
          <w:sz w:val="22"/>
        </w:rPr>
        <w:t>，K</w:t>
      </w:r>
      <w:r>
        <w:rPr>
          <w:rFonts w:ascii="宋体" w:hAnsi="Times New Roman" w:eastAsia="宋体"/>
          <w:b w:val="false"/>
          <w:i w:val="false"/>
          <w:color w:val="4d4d4d"/>
          <w:sz w:val="22"/>
        </w:rPr>
        <w:t>表示</w:t>
      </w:r>
      <w:r>
        <w:rPr>
          <w:rFonts w:ascii="宋体" w:hAnsi="Times New Roman" w:eastAsia="宋体"/>
          <w:b w:val="false"/>
          <w:i/>
          <w:color w:val="4d4d4d"/>
          <w:sz w:val="22"/>
        </w:rPr>
        <w:t>K</w:t>
      </w:r>
      <w:r>
        <w:rPr>
          <w:rFonts w:ascii="宋体" w:hAnsi="Times New Roman" w:eastAsia="宋体"/>
          <w:b w:val="false"/>
          <w:i w:val="false"/>
          <w:color w:val="4d4d4d"/>
          <w:sz w:val="22"/>
        </w:rPr>
        <w:t>个classes，通过高斯核：</w:t>
      </w:r>
    </w:p>
    <w:bookmarkEnd w:id="29"/>
    <w:bookmarkStart w:name="u926eeef5" w:id="31"/>
    <w:p>
      <w:pPr>
        <w:spacing w:after="50" w:line="360" w:lineRule="auto" w:beforeLines="100"/>
        <w:ind w:left="0"/>
        <w:jc w:val="left"/>
      </w:pPr>
      <w:bookmarkStart w:name="uf08b7f90" w:id="32"/>
      <w:r>
        <w:rPr>
          <w:rFonts w:eastAsia="宋体" w:ascii="宋体"/>
        </w:rPr>
        <w:drawing>
          <wp:inline distT="0" distB="0" distL="0" distR="0">
            <wp:extent cx="1557867" cy="44175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7867" cy="4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bookmarkEnd w:id="31"/>
    <w:bookmarkStart w:name="u22d3f576" w:id="3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4d4d4d"/>
          <w:sz w:val="22"/>
        </w:rPr>
        <w:t>高斯核半径</w:t>
      </w:r>
      <w:r>
        <w:rPr>
          <w:rFonts w:ascii="宋体" w:hAnsi="Times New Roman" w:eastAsia="宋体"/>
          <w:b w:val="false"/>
          <w:i/>
          <w:color w:val="4d4d4d"/>
          <w:sz w:val="22"/>
        </w:rPr>
        <w:t>σ</w:t>
      </w:r>
      <w:r>
        <w:rPr>
          <w:rFonts w:ascii="宋体" w:hAnsi="Times New Roman" w:eastAsia="宋体"/>
          <w:b w:val="false"/>
          <w:i w:val="false"/>
          <w:color w:val="4d4d4d"/>
          <w:sz w:val="22"/>
        </w:rPr>
        <w:t>为：</w:t>
      </w:r>
    </w:p>
    <w:bookmarkEnd w:id="33"/>
    <w:bookmarkStart w:name="u9bf617fb" w:id="34"/>
    <w:p>
      <w:pPr>
        <w:spacing w:after="50" w:line="360" w:lineRule="auto" w:beforeLines="100"/>
        <w:ind w:left="0"/>
        <w:jc w:val="left"/>
      </w:pPr>
      <w:bookmarkStart w:name="uef260f0e" w:id="35"/>
      <w:r>
        <w:rPr>
          <w:rFonts w:eastAsia="宋体" w:ascii="宋体"/>
        </w:rPr>
        <w:drawing>
          <wp:inline distT="0" distB="0" distL="0" distR="0">
            <wp:extent cx="1422400" cy="18552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1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bookmarkEnd w:id="34"/>
    <w:bookmarkStart w:name="u97785dfa" w:id="3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定义了τ=2,r=0.1，f为ConerNet中计算高斯核半径的公式，分部于热力图heatmap上</w:t>
      </w:r>
    </w:p>
    <w:bookmarkEnd w:id="36"/>
    <w:bookmarkStart w:name="u65d9b992" w:id="37"/>
    <w:p>
      <w:pPr>
        <w:spacing w:after="50" w:line="360" w:lineRule="auto" w:beforeLines="100"/>
        <w:ind w:left="0"/>
        <w:jc w:val="left"/>
      </w:pPr>
      <w:bookmarkStart w:name="u08ba9af5" w:id="38"/>
      <w:r>
        <w:rPr>
          <w:rFonts w:eastAsia="宋体" w:ascii="宋体"/>
        </w:rPr>
        <w:drawing>
          <wp:inline distT="0" distB="0" distL="0" distR="0">
            <wp:extent cx="3606800" cy="331129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31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bookmarkEnd w:id="37"/>
    <w:bookmarkStart w:name="uc645892a" w:id="39"/>
    <w:p>
      <w:pPr>
        <w:numPr>
          <w:ilvl w:val="0"/>
          <w:numId w:val="2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在三维检测中，主干网络需要学习目标的旋转不变性和等变性。为了让网络更好的捕获这个特征，在中心点预测分支和回归分支各添加了一个可变卷积。中心点预测分支学习旋转不变性，回归分支学习等变性</w:t>
      </w:r>
    </w:p>
    <w:bookmarkEnd w:id="39"/>
    <w:bookmarkStart w:name="ucfe2e824" w:id="40"/>
    <w:p>
      <w:pPr>
        <w:numPr>
          <w:ilvl w:val="0"/>
          <w:numId w:val="2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考虑到网络输出的旋转不变性，这里选择了圆形池化区域，而不是CenterNet中的方形区域。具体说，就是在鸟瞰中，只有当某中心半径r内没有具有更高置信度的中心时，该对象才被视为正，作者将该方法称为Circular NMS。Circular NMS与基于3D IoU的NMS具有一样的抑制效果，但速度更快</w:t>
      </w:r>
    </w:p>
    <w:bookmarkEnd w:id="40"/>
    <w:bookmarkStart w:name="u87076ea1" w:id="41"/>
    <w:bookmarkEnd w:id="41"/>
    <w:bookmarkStart w:name="G0rvn" w:id="42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4f4f4f"/>
        </w:rPr>
        <w:t>Experiments</w:t>
      </w:r>
    </w:p>
    <w:bookmarkEnd w:id="42"/>
    <w:bookmarkStart w:name="I9k3p" w:id="43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nuScenes数据集实验</w:t>
      </w:r>
    </w:p>
    <w:bookmarkEnd w:id="43"/>
    <w:bookmarkStart w:name="u91afc8b9" w:id="44"/>
    <w:p>
      <w:pPr>
        <w:spacing w:after="50" w:line="360" w:lineRule="auto" w:beforeLines="100"/>
        <w:ind w:left="0"/>
        <w:jc w:val="left"/>
      </w:pPr>
      <w:bookmarkStart w:name="u77448531" w:id="45"/>
      <w:r>
        <w:rPr>
          <w:rFonts w:eastAsia="宋体" w:ascii="宋体"/>
        </w:rPr>
        <w:drawing>
          <wp:inline distT="0" distB="0" distL="0" distR="0">
            <wp:extent cx="5841999" cy="206783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98934" cy="29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bookmarkEnd w:id="44"/>
    <w:bookmarkStart w:name="Mq32G" w:id="46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消融实验</w:t>
      </w:r>
    </w:p>
    <w:bookmarkEnd w:id="46"/>
    <w:bookmarkStart w:name="u23965922" w:id="47"/>
    <w:p>
      <w:pPr>
        <w:spacing w:after="50" w:line="360" w:lineRule="auto" w:beforeLines="100"/>
        <w:ind w:left="0"/>
        <w:jc w:val="left"/>
      </w:pPr>
      <w:bookmarkStart w:name="ucaab3b54" w:id="48"/>
      <w:r>
        <w:rPr>
          <w:rFonts w:eastAsia="宋体" w:ascii="宋体"/>
        </w:rPr>
        <w:drawing>
          <wp:inline distT="0" distB="0" distL="0" distR="0">
            <wp:extent cx="5841999" cy="321274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398934" cy="461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</w:p>
    <w:bookmarkEnd w:id="47"/>
    <w:bookmarkStart w:name="ua48d8197" w:id="49"/>
    <w:bookmarkEnd w:id="49"/>
    <w:bookmarkStart w:name="u199b9cd6" w:id="50"/>
    <w:bookmarkEnd w:id="50"/>
    <w:bookmarkStart w:name="uf2c65010" w:id="51"/>
    <w:bookmarkEnd w:id="51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m="http://schemas.openxmlformats.org/officeDocument/2006/math" xmlns:w14="http://schemas.microsoft.com/office/word/2010/wordml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abstractNum w:abstractNumId="1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2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 xmlns:m="http://schemas.openxmlformats.org/officeDocument/2006/math" xmlns:w14="http://schemas.microsoft.com/office/word/2010/wordml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m="http://schemas.openxmlformats.org/officeDocument/2006/math" xmlns:w14="http://schemas.microsoft.com/office/word/2010/wordml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document_image_rId10.png" Type="http://schemas.openxmlformats.org/officeDocument/2006/relationships/image"/><Relationship Id="rId11" Target="media/document_image_rId11.png" Type="http://schemas.openxmlformats.org/officeDocument/2006/relationships/image"/><Relationship Id="rId12" Target="media/document_image_rId12.png" Type="http://schemas.openxmlformats.org/officeDocument/2006/relationships/image"/><Relationship Id="rId13" Target="media/document_image_rId13.png" Type="http://schemas.openxmlformats.org/officeDocument/2006/relationships/image"/><Relationship Id="rId14" Target="media/document_image_rId14.png" Type="http://schemas.openxmlformats.org/officeDocument/2006/relationships/image"/><Relationship Id="rId2" Target="settings.xml" Type="http://schemas.openxmlformats.org/officeDocument/2006/relationships/settings"/><Relationship Id="rId3" Target="numbering.xml" Type="http://schemas.openxmlformats.org/officeDocument/2006/relationships/numbering"/><Relationship Id="rId4" Target="https://arxiv.org/abs/2006.11275" TargetMode="External" Type="http://schemas.openxmlformats.org/officeDocument/2006/relationships/hyperlink"/><Relationship Id="rId5" Target="https://github.com/tianweiy/CenterPoint" TargetMode="External" Type="http://schemas.openxmlformats.org/officeDocument/2006/relationships/hyperlink"/><Relationship Id="rId6" Target="media/document_image_rId6.png" Type="http://schemas.openxmlformats.org/officeDocument/2006/relationships/image"/><Relationship Id="rId7" Target="media/document_image_rId7.png" Type="http://schemas.openxmlformats.org/officeDocument/2006/relationships/image"/><Relationship Id="rId8" Target="media/document_image_rId8.png" Type="http://schemas.openxmlformats.org/officeDocument/2006/relationships/image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