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5.png"/>
  <Override ContentType="image/png" PartName="/word/media/document_image_rId6.png"/>
  <Override ContentType="image/png" PartName="/word/media/document_image_rId7.png"/>
  <Override ContentType="image/png" PartName="/word/media/document_image_rId8.png"/>
  <Override ContentType="image/png" PartName="/word/media/document_image_rId9.png"/>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FCOS3D</w:t>
      </w:r>
    </w:p>
    <w:p>
      <w:pPr>
        <w:spacing w:after="50" w:line="360" w:lineRule="auto" w:beforeLines="100"/>
        <w:ind w:left="0"/>
        <w:jc w:val="left"/>
      </w:pPr>
      <w:bookmarkStart w:name="u39c78b1d" w:id="0"/>
      <w:r>
        <w:rPr>
          <w:rFonts w:ascii="宋体" w:hAnsi="Times New Roman" w:eastAsia="宋体"/>
          <w:b w:val="false"/>
          <w:i w:val="false"/>
          <w:color w:val="000000"/>
          <w:sz w:val="22"/>
        </w:rPr>
        <w:t>论文地址：</w:t>
      </w:r>
    </w:p>
    <w:bookmarkEnd w:id="0"/>
    <w:bookmarkStart w:name="u23226662" w:id="1"/>
    <w:p>
      <w:pPr>
        <w:spacing w:after="50" w:line="360" w:lineRule="auto" w:beforeLines="100"/>
        <w:ind w:left="0"/>
        <w:jc w:val="left"/>
      </w:pPr>
      <w:hyperlink r:id="rId4">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https://arxiv.org/pdf/2104.10956.pdf</w:t>
        </w:r>
      </w:hyperlink>
    </w:p>
    <w:bookmarkEnd w:id="1"/>
    <w:bookmarkStart w:name="Nx1ia" w:id="2"/>
    <w:p>
      <w:pPr>
        <w:pStyle w:val="Heading2"/>
        <w:spacing w:after="50" w:line="360" w:lineRule="auto" w:beforeLines="100"/>
        <w:ind w:left="0"/>
        <w:jc w:val="left"/>
      </w:pPr>
      <w:r>
        <w:rPr>
          <w:rFonts w:ascii="宋体" w:hAnsi="Times New Roman" w:eastAsia="宋体"/>
        </w:rPr>
        <w:t>网络结构</w:t>
      </w:r>
    </w:p>
    <w:bookmarkEnd w:id="2"/>
    <w:bookmarkStart w:name="ZmoRA" w:id="3"/>
    <w:p>
      <w:pPr>
        <w:numPr>
          <w:ilvl w:val="0"/>
          <w:numId w:val="1"/>
        </w:numPr>
        <w:spacing w:after="50" w:line="360" w:lineRule="auto" w:beforeLines="100"/>
        <w:ind w:left="360"/>
        <w:jc w:val="left"/>
      </w:pPr>
      <w:r>
        <w:rPr>
          <w:rFonts w:eastAsia="宋体" w:ascii="宋体"/>
        </w:rPr>
        <w:drawing>
          <wp:inline distT="0" distB="0" distL="0" distR="0">
            <wp:extent cx="5841999" cy="2377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11543453" cy="4698001"/>
                    </a:xfrm>
                    <a:prstGeom prst="rect">
                      <a:avLst/>
                    </a:prstGeom>
                  </pic:spPr>
                </pic:pic>
              </a:graphicData>
            </a:graphic>
          </wp:inline>
        </w:drawing>
      </w:r>
      <w:bookmarkEnd w:id="3"/>
      <w:bookmarkStart w:name="u15bf7cec" w:id="4"/>
      <w:r>
        <w:rPr>
          <w:rFonts w:ascii="宋体" w:hAnsi="Times New Roman" w:eastAsia="宋体"/>
          <w:b w:val="false"/>
          <w:i w:val="false"/>
          <w:color w:val="000000"/>
          <w:sz w:val="22"/>
        </w:rPr>
        <w:t>Backbone： 使用 resnet101，固定第一层的卷积参数从而减少显存消耗</w:t>
      </w:r>
    </w:p>
    <w:bookmarkEnd w:id="4"/>
    <w:bookmarkStart w:name="u697bd1fb" w:id="5"/>
    <w:p>
      <w:pPr>
        <w:numPr>
          <w:ilvl w:val="0"/>
          <w:numId w:val="1"/>
        </w:numPr>
        <w:spacing w:after="50" w:line="360" w:lineRule="auto" w:beforeLines="100"/>
        <w:ind w:left="360"/>
        <w:jc w:val="left"/>
      </w:pPr>
      <w:r>
        <w:rPr>
          <w:rFonts w:ascii="宋体" w:hAnsi="Times New Roman" w:eastAsia="宋体"/>
          <w:b w:val="false"/>
          <w:i w:val="false"/>
          <w:color w:val="000000"/>
          <w:sz w:val="22"/>
        </w:rPr>
        <w:t>FPN： 生成特征层 P3-P7，每个特征层用于检测不同尺度的目标</w:t>
      </w:r>
    </w:p>
    <w:bookmarkEnd w:id="5"/>
    <w:bookmarkStart w:name="ua334d6bf" w:id="6"/>
    <w:p>
      <w:pPr>
        <w:numPr>
          <w:ilvl w:val="0"/>
          <w:numId w:val="1"/>
        </w:numPr>
        <w:spacing w:after="50" w:line="360" w:lineRule="auto" w:beforeLines="100"/>
        <w:ind w:left="360"/>
        <w:jc w:val="left"/>
      </w:pPr>
      <w:r>
        <w:rPr>
          <w:rFonts w:ascii="宋体" w:hAnsi="Times New Roman" w:eastAsia="宋体"/>
          <w:b w:val="false"/>
          <w:i w:val="false"/>
          <w:color w:val="000000"/>
          <w:sz w:val="22"/>
        </w:rPr>
        <w:t xml:space="preserve">Detection Head：包含4个共享参数的卷积层和 small heads 用于不同的 targets 预测；回归分支需要较高的解耦程度，即每个子 targets 都设置一个 heads，所有回归的目标如上图所示。 </w:t>
      </w:r>
    </w:p>
    <w:bookmarkEnd w:id="6"/>
    <w:bookmarkStart w:name="u677db8a5" w:id="7"/>
    <w:p>
      <w:pPr>
        <w:spacing w:after="50" w:line="360" w:lineRule="auto" w:beforeLines="100"/>
        <w:ind w:left="0"/>
        <w:jc w:val="left"/>
      </w:pPr>
      <w:r>
        <w:rPr>
          <w:rFonts w:ascii="宋体" w:hAnsi="Times New Roman" w:eastAsia="宋体"/>
          <w:b w:val="false"/>
          <w:i w:val="false"/>
          <w:color w:val="121212"/>
          <w:sz w:val="22"/>
        </w:rPr>
        <w:t xml:space="preserve">从网络结构对比来看，FCOS3D的backbone和neck部分沿用FCOS的结构，检测头head部分因regression targets不同有所差异:FCOS的分类分支有两个子分支，共享4个卷积层，分别预测目标类别和center-ness，回归分支预测feature map上的点到bounding box的left，top，right，bottom边界的距离 </w:t>
      </w:r>
      <w:bookmarkStart w:name="ua2337a4e" w:id="8"/>
      <w:r>
        <w:rPr>
          <w:rFonts w:eastAsia="宋体" w:ascii="宋体"/>
        </w:rPr>
        <w:drawing>
          <wp:inline distT="0" distB="0" distL="0" distR="0">
            <wp:extent cx="524933" cy="17224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524933" cy="172242"/>
                    </a:xfrm>
                    <a:prstGeom prst="rect">
                      <a:avLst/>
                    </a:prstGeom>
                  </pic:spPr>
                </pic:pic>
              </a:graphicData>
            </a:graphic>
          </wp:inline>
        </w:drawing>
      </w:r>
      <w:bookmarkEnd w:id="8"/>
      <w:r>
        <w:rPr>
          <w:rFonts w:ascii="宋体" w:hAnsi="Times New Roman" w:eastAsia="宋体"/>
          <w:b w:val="false"/>
          <w:i w:val="false"/>
          <w:color w:val="121212"/>
          <w:sz w:val="22"/>
        </w:rPr>
        <w:t xml:space="preserve"> ；FCOS3D在检测头部分对分类分支中目标类别预测和center-ness预测进行了解耦，center-ness预测分支和回归分支共享4个卷积层，在回归分支中每个特征点预测3Dbox的在2D图上3D-center的偏置 </w:t>
      </w:r>
      <w:bookmarkStart w:name="u39552db6" w:id="9"/>
      <w:r>
        <w:rPr>
          <w:rFonts w:eastAsia="宋体" w:ascii="宋体"/>
        </w:rPr>
        <w:drawing>
          <wp:inline distT="0" distB="0" distL="0" distR="0">
            <wp:extent cx="457200" cy="15792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457200" cy="157928"/>
                    </a:xfrm>
                    <a:prstGeom prst="rect">
                      <a:avLst/>
                    </a:prstGeom>
                  </pic:spPr>
                </pic:pic>
              </a:graphicData>
            </a:graphic>
          </wp:inline>
        </w:drawing>
      </w:r>
      <w:bookmarkEnd w:id="9"/>
      <w:r>
        <w:rPr>
          <w:rFonts w:ascii="宋体" w:hAnsi="Times New Roman" w:eastAsia="宋体"/>
          <w:b w:val="false"/>
          <w:i w:val="false"/>
          <w:color w:val="121212"/>
          <w:sz w:val="22"/>
        </w:rPr>
        <w:t xml:space="preserve"> ，3Dbox中心点深度信息 </w:t>
      </w:r>
      <w:bookmarkStart w:name="u59dc0299" w:id="10"/>
      <w:r>
        <w:rPr>
          <w:rFonts w:eastAsia="宋体" w:ascii="宋体"/>
        </w:rPr>
        <w:drawing>
          <wp:inline distT="0" distB="0" distL="0" distR="0">
            <wp:extent cx="67733" cy="1204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67733" cy="120400"/>
                    </a:xfrm>
                    <a:prstGeom prst="rect">
                      <a:avLst/>
                    </a:prstGeom>
                  </pic:spPr>
                </pic:pic>
              </a:graphicData>
            </a:graphic>
          </wp:inline>
        </w:drawing>
      </w:r>
      <w:bookmarkEnd w:id="10"/>
      <w:r>
        <w:rPr>
          <w:rFonts w:ascii="宋体" w:hAnsi="Times New Roman" w:eastAsia="宋体"/>
          <w:b w:val="false"/>
          <w:i w:val="false"/>
          <w:color w:val="121212"/>
          <w:sz w:val="22"/>
        </w:rPr>
        <w:t xml:space="preserve"> ，3Dbox的长宽高 </w:t>
      </w:r>
      <w:bookmarkStart w:name="u9d054907" w:id="11"/>
      <w:r>
        <w:rPr>
          <w:rFonts w:eastAsia="宋体" w:ascii="宋体"/>
        </w:rPr>
        <w:drawing>
          <wp:inline distT="0" distB="0" distL="0" distR="0">
            <wp:extent cx="372533" cy="12956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372533" cy="129568"/>
                    </a:xfrm>
                    <a:prstGeom prst="rect">
                      <a:avLst/>
                    </a:prstGeom>
                  </pic:spPr>
                </pic:pic>
              </a:graphicData>
            </a:graphic>
          </wp:inline>
        </w:drawing>
      </w:r>
      <w:bookmarkEnd w:id="11"/>
      <w:r>
        <w:rPr>
          <w:rFonts w:ascii="宋体" w:hAnsi="Times New Roman" w:eastAsia="宋体"/>
          <w:b w:val="false"/>
          <w:i w:val="false"/>
          <w:color w:val="121212"/>
          <w:sz w:val="22"/>
        </w:rPr>
        <w:t xml:space="preserve"> ，3Dbox的航向角 </w:t>
      </w:r>
      <w:bookmarkStart w:name="u6a55c4fc" w:id="12"/>
      <w:r>
        <w:rPr>
          <w:rFonts w:eastAsia="宋体" w:ascii="宋体"/>
        </w:rPr>
        <w:drawing>
          <wp:inline distT="0" distB="0" distL="0" distR="0">
            <wp:extent cx="67733" cy="13545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67733" cy="135456"/>
                    </a:xfrm>
                    <a:prstGeom prst="rect">
                      <a:avLst/>
                    </a:prstGeom>
                  </pic:spPr>
                </pic:pic>
              </a:graphicData>
            </a:graphic>
          </wp:inline>
        </w:drawing>
      </w:r>
      <w:bookmarkEnd w:id="12"/>
      <w:r>
        <w:rPr>
          <w:rFonts w:ascii="宋体" w:hAnsi="Times New Roman" w:eastAsia="宋体"/>
          <w:b w:val="false"/>
          <w:i w:val="false"/>
          <w:color w:val="121212"/>
          <w:sz w:val="22"/>
        </w:rPr>
        <w:t xml:space="preserve"> 以及x，y方向上的速度 </w:t>
      </w:r>
      <w:bookmarkStart w:name="uc63a394c" w:id="13"/>
      <w:r>
        <w:rPr>
          <w:rFonts w:eastAsia="宋体" w:ascii="宋体"/>
        </w:rPr>
        <w:drawing>
          <wp:inline distT="0" distB="0" distL="0" distR="0">
            <wp:extent cx="372533" cy="17383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372533" cy="173838"/>
                    </a:xfrm>
                    <a:prstGeom prst="rect">
                      <a:avLst/>
                    </a:prstGeom>
                  </pic:spPr>
                </pic:pic>
              </a:graphicData>
            </a:graphic>
          </wp:inline>
        </w:drawing>
      </w:r>
      <w:bookmarkEnd w:id="13"/>
      <w:r>
        <w:rPr>
          <w:rFonts w:ascii="宋体" w:hAnsi="Times New Roman" w:eastAsia="宋体"/>
          <w:b w:val="false"/>
          <w:i w:val="false"/>
          <w:color w:val="121212"/>
          <w:sz w:val="22"/>
        </w:rPr>
        <w:t xml:space="preserve"> ，其中在预测航向角时还添加了方向辨别任务(二分类);FCOS和FCOS3D检测头都是参数共享的。</w:t>
      </w:r>
    </w:p>
    <w:bookmarkEnd w:id="7"/>
    <w:bookmarkStart w:name="u76e425db" w:id="14"/>
    <w:bookmarkEnd w:id="14"/>
    <w:bookmarkStart w:name="u0249a77c" w:id="15"/>
    <w:p>
      <w:pPr>
        <w:spacing w:after="50" w:line="360" w:lineRule="auto" w:beforeLines="100"/>
        <w:ind w:left="0"/>
        <w:jc w:val="left"/>
      </w:pPr>
      <w:bookmarkStart w:name="u3e420e5b" w:id="16"/>
      <w:r>
        <w:rPr>
          <w:rFonts w:eastAsia="宋体" w:ascii="宋体"/>
        </w:rPr>
        <w:drawing>
          <wp:inline distT="0" distB="0" distL="0" distR="0">
            <wp:extent cx="4842933" cy="182543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4842933" cy="1825434"/>
                    </a:xfrm>
                    <a:prstGeom prst="rect">
                      <a:avLst/>
                    </a:prstGeom>
                  </pic:spPr>
                </pic:pic>
              </a:graphicData>
            </a:graphic>
          </wp:inline>
        </w:drawing>
      </w:r>
      <w:bookmarkEnd w:id="16"/>
    </w:p>
    <w:bookmarkEnd w:id="15"/>
    <w:bookmarkStart w:name="u9a71133c" w:id="17"/>
    <w:p>
      <w:pPr>
        <w:spacing w:after="50" w:line="360" w:lineRule="auto" w:beforeLines="100"/>
        <w:ind w:left="0"/>
        <w:jc w:val="left"/>
      </w:pPr>
      <w:r>
        <w:rPr>
          <w:rFonts w:ascii="宋体" w:hAnsi="Times New Roman" w:eastAsia="宋体"/>
          <w:b w:val="false"/>
          <w:i w:val="false"/>
          <w:color w:val="121212"/>
          <w:sz w:val="22"/>
        </w:rPr>
        <w:t>fcos3d 设计了一种新的旋转编码方案，即将360°角度回归解耦为方向的二分类和180°角度回归，在角度正确性上超过了 CenterNet</w:t>
      </w:r>
    </w:p>
    <w:bookmarkEnd w:id="17"/>
    <w:bookmarkStart w:name="Himxk" w:id="18"/>
    <w:p>
      <w:pPr>
        <w:pStyle w:val="Heading2"/>
        <w:spacing w:after="50" w:line="360" w:lineRule="auto" w:beforeLines="100"/>
        <w:ind w:left="0"/>
        <w:jc w:val="left"/>
      </w:pPr>
      <w:r>
        <w:rPr>
          <w:rFonts w:ascii="宋体" w:hAnsi="Times New Roman" w:eastAsia="宋体"/>
          <w:color w:val="121212"/>
        </w:rPr>
        <w:t>loss 设计</w:t>
      </w:r>
    </w:p>
    <w:bookmarkEnd w:id="18"/>
    <w:bookmarkStart w:name="uaf0d0c5a" w:id="19"/>
    <w:p>
      <w:pPr>
        <w:numPr>
          <w:ilvl w:val="1"/>
          <w:numId w:val="2"/>
        </w:numPr>
        <w:spacing w:after="50" w:line="360" w:lineRule="auto" w:beforeLines="100"/>
        <w:ind w:left="720"/>
        <w:jc w:val="left"/>
      </w:pPr>
      <w:r>
        <w:rPr>
          <w:rFonts w:ascii="宋体" w:hAnsi="Times New Roman" w:eastAsia="宋体"/>
          <w:b w:val="false"/>
          <w:i w:val="false"/>
          <w:color w:val="121212"/>
          <w:sz w:val="22"/>
        </w:rPr>
        <w:t>分类使用 focal loss</w:t>
      </w:r>
    </w:p>
    <w:bookmarkEnd w:id="19"/>
    <w:bookmarkStart w:name="u82017be7" w:id="20"/>
    <w:p>
      <w:pPr>
        <w:spacing w:after="50" w:line="360" w:lineRule="auto" w:beforeLines="100"/>
        <w:ind w:left="0"/>
        <w:jc w:val="left"/>
      </w:pPr>
      <w:bookmarkStart w:name="ue8950ecf" w:id="21"/>
      <w:r>
        <w:rPr>
          <w:rFonts w:eastAsia="宋体" w:ascii="宋体"/>
        </w:rPr>
        <w:drawing>
          <wp:inline distT="0" distB="0" distL="0" distR="0">
            <wp:extent cx="2082800" cy="37161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2082800" cy="371616"/>
                    </a:xfrm>
                    <a:prstGeom prst="rect">
                      <a:avLst/>
                    </a:prstGeom>
                  </pic:spPr>
                </pic:pic>
              </a:graphicData>
            </a:graphic>
          </wp:inline>
        </w:drawing>
      </w:r>
      <w:bookmarkEnd w:id="21"/>
    </w:p>
    <w:bookmarkEnd w:id="20"/>
    <w:bookmarkStart w:name="u454ffe16" w:id="22"/>
    <w:p>
      <w:pPr>
        <w:numPr>
          <w:ilvl w:val="1"/>
          <w:numId w:val="3"/>
        </w:numPr>
        <w:spacing w:after="50" w:line="360" w:lineRule="auto" w:beforeLines="100"/>
        <w:ind w:left="720"/>
        <w:jc w:val="left"/>
      </w:pPr>
      <w:r>
        <w:rPr>
          <w:rFonts w:ascii="宋体" w:hAnsi="Times New Roman" w:eastAsia="宋体"/>
          <w:b w:val="false"/>
          <w:i w:val="false"/>
          <w:color w:val="121212"/>
          <w:sz w:val="22"/>
        </w:rPr>
        <w:t>回归基本上使用 smoothL1 loss，方向分类和 center-ness 使用 binary cross entropy 损失</w:t>
      </w:r>
    </w:p>
    <w:bookmarkEnd w:id="22"/>
    <w:bookmarkStart w:name="u171cfb35" w:id="23"/>
    <w:p>
      <w:pPr>
        <w:spacing w:after="50" w:line="360" w:lineRule="auto" w:beforeLines="100"/>
        <w:ind w:left="0"/>
        <w:jc w:val="left"/>
      </w:pPr>
      <w:bookmarkStart w:name="u373d4cd4" w:id="24"/>
      <w:r>
        <w:rPr>
          <w:rFonts w:eastAsia="宋体" w:ascii="宋体"/>
        </w:rPr>
        <w:drawing>
          <wp:inline distT="0" distB="0" distL="0" distR="0">
            <wp:extent cx="3979333" cy="55706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3979333" cy="557060"/>
                    </a:xfrm>
                    <a:prstGeom prst="rect">
                      <a:avLst/>
                    </a:prstGeom>
                  </pic:spPr>
                </pic:pic>
              </a:graphicData>
            </a:graphic>
          </wp:inline>
        </w:drawing>
      </w:r>
      <w:bookmarkEnd w:id="24"/>
    </w:p>
    <w:bookmarkEnd w:id="23"/>
    <w:bookmarkStart w:name="ua6d431a7" w:id="25"/>
    <w:p>
      <w:pPr>
        <w:numPr>
          <w:ilvl w:val="1"/>
          <w:numId w:val="4"/>
        </w:numPr>
        <w:spacing w:after="50" w:line="360" w:lineRule="auto" w:beforeLines="100"/>
        <w:ind w:left="720"/>
        <w:jc w:val="left"/>
      </w:pPr>
      <w:r>
        <w:rPr>
          <w:rFonts w:ascii="宋体" w:hAnsi="Times New Roman" w:eastAsia="宋体"/>
          <w:b w:val="false"/>
          <w:i w:val="false"/>
          <w:color w:val="121212"/>
          <w:sz w:val="22"/>
        </w:rPr>
        <w:t>总损失</w:t>
      </w:r>
    </w:p>
    <w:bookmarkEnd w:id="25"/>
    <w:bookmarkStart w:name="u19d7cb42" w:id="26"/>
    <w:p>
      <w:pPr>
        <w:spacing w:after="50" w:line="360" w:lineRule="auto" w:beforeLines="100"/>
        <w:ind w:left="0"/>
        <w:jc w:val="left"/>
      </w:pPr>
      <w:bookmarkStart w:name="u1b874436" w:id="27"/>
      <w:r>
        <w:rPr>
          <w:rFonts w:eastAsia="宋体" w:ascii="宋体"/>
        </w:rPr>
        <w:drawing>
          <wp:inline distT="0" distB="0" distL="0" distR="0">
            <wp:extent cx="4927600" cy="47299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4927600" cy="472992"/>
                    </a:xfrm>
                    <a:prstGeom prst="rect">
                      <a:avLst/>
                    </a:prstGeom>
                  </pic:spPr>
                </pic:pic>
              </a:graphicData>
            </a:graphic>
          </wp:inline>
        </w:drawing>
      </w:r>
      <w:bookmarkEnd w:id="27"/>
    </w:p>
    <w:bookmarkEnd w:id="26"/>
    <w:bookmarkStart w:name="K0SF8" w:id="28"/>
    <w:p>
      <w:pPr>
        <w:pStyle w:val="Heading2"/>
        <w:spacing w:after="50" w:line="360" w:lineRule="auto" w:beforeLines="100"/>
        <w:ind w:left="0"/>
        <w:jc w:val="left"/>
      </w:pPr>
      <w:r>
        <w:rPr>
          <w:rFonts w:ascii="宋体" w:hAnsi="Times New Roman" w:eastAsia="宋体"/>
          <w:color w:val="121212"/>
        </w:rPr>
        <w:t>测试阶段</w:t>
      </w:r>
    </w:p>
    <w:bookmarkEnd w:id="28"/>
    <w:bookmarkStart w:name="udb1c4a33" w:id="29"/>
    <w:p>
      <w:pPr>
        <w:spacing w:after="50" w:line="360" w:lineRule="auto" w:beforeLines="100"/>
        <w:ind w:left="0"/>
        <w:jc w:val="left"/>
      </w:pPr>
      <w:r>
        <w:rPr>
          <w:rFonts w:ascii="宋体" w:hAnsi="Times New Roman" w:eastAsia="宋体"/>
          <w:b w:val="false"/>
          <w:i w:val="false"/>
          <w:color w:val="121212"/>
          <w:sz w:val="22"/>
        </w:rPr>
        <w:t>给定一张图片，经过该框架推理，得到检测框的class score，attibute score及center-ness结果。class score 和 center-ness 相乘作为预测的置信度，然后在 bird view 中进行 rotated NMS 得到最终的的结果。</w:t>
      </w:r>
    </w:p>
    <w:bookmarkEnd w:id="29"/>
    <w:bookmarkStart w:name="G4Uko" w:id="30"/>
    <w:p>
      <w:pPr>
        <w:pStyle w:val="Heading2"/>
        <w:spacing w:after="50" w:line="360" w:lineRule="auto" w:beforeLines="100"/>
        <w:ind w:left="0"/>
        <w:jc w:val="left"/>
      </w:pPr>
      <w:r>
        <w:rPr>
          <w:rFonts w:ascii="宋体" w:hAnsi="Times New Roman" w:eastAsia="宋体"/>
          <w:color w:val="121212"/>
        </w:rPr>
        <w:t>评测指标</w:t>
      </w:r>
    </w:p>
    <w:bookmarkEnd w:id="30"/>
    <w:bookmarkStart w:name="e5UTX" w:id="31"/>
    <w:p>
      <w:pPr>
        <w:pStyle w:val="Heading3"/>
        <w:spacing w:after="50" w:line="360" w:lineRule="auto" w:beforeLines="100"/>
        <w:ind w:left="0"/>
        <w:jc w:val="left"/>
      </w:pPr>
      <w:r>
        <w:rPr>
          <w:rFonts w:ascii="宋体" w:hAnsi="Times New Roman" w:eastAsia="宋体"/>
          <w:color w:val="121212"/>
        </w:rPr>
        <w:t>mAP</w:t>
      </w:r>
    </w:p>
    <w:bookmarkEnd w:id="31"/>
    <w:bookmarkStart w:name="u5f7001f5" w:id="32"/>
    <w:p>
      <w:pPr>
        <w:numPr>
          <w:ilvl w:val="0"/>
          <w:numId w:val="5"/>
        </w:numPr>
        <w:spacing w:after="50" w:line="360" w:lineRule="auto" w:beforeLines="100"/>
        <w:ind w:left="360"/>
        <w:jc w:val="left"/>
      </w:pPr>
      <w:r>
        <w:rPr>
          <w:rFonts w:ascii="宋体" w:hAnsi="Times New Roman" w:eastAsia="宋体"/>
          <w:b w:val="false"/>
          <w:i w:val="false"/>
          <w:color w:val="121212"/>
          <w:sz w:val="22"/>
        </w:rPr>
        <w:t>使用在地平面上的 2D center 与 gt 的距离作为 threshold，避免使用 IoU 作为 threshold 对物体size 和朝向敏感的问题。最终通过匹配threshold来计算mAP，D代表4个阈值{0.5, 1, 2, 4}米，C表示所有的类别：</w:t>
      </w:r>
    </w:p>
    <w:bookmarkEnd w:id="32"/>
    <w:bookmarkStart w:name="u68285d35" w:id="33"/>
    <w:p>
      <w:pPr>
        <w:spacing w:after="50" w:line="360" w:lineRule="auto" w:beforeLines="100"/>
        <w:ind w:left="0"/>
        <w:jc w:val="left"/>
      </w:pPr>
      <w:bookmarkStart w:name="uc0dfffbd" w:id="34"/>
      <w:r>
        <w:rPr>
          <w:rFonts w:eastAsia="宋体" w:ascii="宋体"/>
        </w:rPr>
        <w:drawing>
          <wp:inline distT="0" distB="0" distL="0" distR="0">
            <wp:extent cx="2675467" cy="62208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6"/>
                    <a:stretch>
                      <a:fillRect/>
                    </a:stretch>
                  </pic:blipFill>
                  <pic:spPr>
                    <a:xfrm>
                      <a:off x="0" y="0"/>
                      <a:ext cx="2675467" cy="622080"/>
                    </a:xfrm>
                    <a:prstGeom prst="rect">
                      <a:avLst/>
                    </a:prstGeom>
                  </pic:spPr>
                </pic:pic>
              </a:graphicData>
            </a:graphic>
          </wp:inline>
        </w:drawing>
      </w:r>
      <w:bookmarkEnd w:id="34"/>
    </w:p>
    <w:bookmarkEnd w:id="33"/>
    <w:bookmarkStart w:name="ZBB1r" w:id="35"/>
    <w:p>
      <w:pPr>
        <w:pStyle w:val="Heading3"/>
        <w:spacing w:after="50" w:line="360" w:lineRule="auto" w:beforeLines="100"/>
        <w:ind w:left="0"/>
        <w:jc w:val="left"/>
      </w:pPr>
      <w:r>
        <w:rPr>
          <w:rFonts w:ascii="宋体" w:hAnsi="Times New Roman" w:eastAsia="宋体"/>
          <w:color w:val="121212"/>
        </w:rPr>
        <w:t>True Positive metrics</w:t>
      </w:r>
    </w:p>
    <w:bookmarkEnd w:id="35"/>
    <w:bookmarkStart w:name="u89c12c9d" w:id="36"/>
    <w:p>
      <w:pPr>
        <w:numPr>
          <w:ilvl w:val="0"/>
          <w:numId w:val="6"/>
        </w:numPr>
        <w:spacing w:after="50" w:line="360" w:lineRule="auto" w:beforeLines="100"/>
        <w:ind w:left="360"/>
        <w:jc w:val="left"/>
      </w:pPr>
      <w:r>
        <w:rPr>
          <w:rFonts w:ascii="宋体" w:hAnsi="Times New Roman" w:eastAsia="宋体"/>
          <w:b w:val="false"/>
          <w:i w:val="false"/>
          <w:color w:val="121212"/>
          <w:sz w:val="22"/>
        </w:rPr>
        <w:t>Average Translation Error (ATE)： 2d 下的中心距离差距 （m）</w:t>
      </w:r>
    </w:p>
    <w:bookmarkEnd w:id="36"/>
    <w:bookmarkStart w:name="u5490b73d" w:id="37"/>
    <w:p>
      <w:pPr>
        <w:numPr>
          <w:ilvl w:val="0"/>
          <w:numId w:val="6"/>
        </w:numPr>
        <w:spacing w:after="50" w:line="360" w:lineRule="auto" w:beforeLines="100"/>
        <w:ind w:left="360"/>
        <w:jc w:val="left"/>
      </w:pPr>
      <w:r>
        <w:rPr>
          <w:rFonts w:ascii="宋体" w:hAnsi="Times New Roman" w:eastAsia="宋体"/>
          <w:b w:val="false"/>
          <w:i w:val="false"/>
          <w:color w:val="121212"/>
          <w:sz w:val="22"/>
        </w:rPr>
        <w:t>Average Scale Error (ASE)： 1-IoU，IoU为对齐 translation 和 orientation 后计算的值</w:t>
      </w:r>
    </w:p>
    <w:bookmarkEnd w:id="37"/>
    <w:bookmarkStart w:name="ue14cb140" w:id="38"/>
    <w:p>
      <w:pPr>
        <w:numPr>
          <w:ilvl w:val="0"/>
          <w:numId w:val="6"/>
        </w:numPr>
        <w:spacing w:after="50" w:line="360" w:lineRule="auto" w:beforeLines="100"/>
        <w:ind w:left="360"/>
        <w:jc w:val="left"/>
      </w:pPr>
      <w:r>
        <w:rPr>
          <w:rFonts w:ascii="宋体" w:hAnsi="Times New Roman" w:eastAsia="宋体"/>
          <w:b w:val="false"/>
          <w:i w:val="false"/>
          <w:color w:val="121212"/>
          <w:sz w:val="22"/>
        </w:rPr>
        <w:t>Average Orientation Error (AOE)：smallest yaw angle difference（radians）</w:t>
      </w:r>
    </w:p>
    <w:bookmarkEnd w:id="38"/>
    <w:bookmarkStart w:name="u759fc8dc" w:id="39"/>
    <w:p>
      <w:pPr>
        <w:numPr>
          <w:ilvl w:val="0"/>
          <w:numId w:val="6"/>
        </w:numPr>
        <w:spacing w:after="50" w:line="360" w:lineRule="auto" w:beforeLines="100"/>
        <w:ind w:left="360"/>
        <w:jc w:val="left"/>
      </w:pPr>
      <w:r>
        <w:rPr>
          <w:rFonts w:ascii="宋体" w:hAnsi="Times New Roman" w:eastAsia="宋体"/>
          <w:b w:val="false"/>
          <w:i w:val="false"/>
          <w:color w:val="121212"/>
          <w:sz w:val="22"/>
        </w:rPr>
        <w:t>Average Velocity Error (AVE)： 速度差异的 L2-Norm (m/s)</w:t>
      </w:r>
    </w:p>
    <w:bookmarkEnd w:id="39"/>
    <w:bookmarkStart w:name="u2ca6e7ab" w:id="40"/>
    <w:p>
      <w:pPr>
        <w:numPr>
          <w:ilvl w:val="0"/>
          <w:numId w:val="6"/>
        </w:numPr>
        <w:spacing w:after="50" w:line="360" w:lineRule="auto" w:beforeLines="100"/>
        <w:ind w:left="360"/>
        <w:jc w:val="left"/>
      </w:pPr>
      <w:r>
        <w:rPr>
          <w:rFonts w:ascii="宋体" w:hAnsi="Times New Roman" w:eastAsia="宋体"/>
          <w:b w:val="false"/>
          <w:i w:val="false"/>
          <w:color w:val="121212"/>
          <w:sz w:val="22"/>
        </w:rPr>
        <w:t>Average Attribute Error (AAE)：1−acc，其中 acc 指代属性分类准确度</w:t>
      </w:r>
    </w:p>
    <w:bookmarkEnd w:id="40"/>
    <w:bookmarkStart w:name="ud15d29be" w:id="41"/>
    <w:p>
      <w:pPr>
        <w:spacing w:after="50" w:line="360" w:lineRule="auto" w:beforeLines="100"/>
        <w:ind w:left="0"/>
        <w:jc w:val="left"/>
      </w:pPr>
      <w:bookmarkStart w:name="u352d2d1e" w:id="42"/>
      <w:r>
        <w:rPr>
          <w:rFonts w:eastAsia="宋体" w:ascii="宋体"/>
        </w:rPr>
        <w:drawing>
          <wp:inline distT="0" distB="0" distL="0" distR="0">
            <wp:extent cx="1964267" cy="61082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7"/>
                    <a:stretch>
                      <a:fillRect/>
                    </a:stretch>
                  </pic:blipFill>
                  <pic:spPr>
                    <a:xfrm>
                      <a:off x="0" y="0"/>
                      <a:ext cx="1964267" cy="610828"/>
                    </a:xfrm>
                    <a:prstGeom prst="rect">
                      <a:avLst/>
                    </a:prstGeom>
                  </pic:spPr>
                </pic:pic>
              </a:graphicData>
            </a:graphic>
          </wp:inline>
        </w:drawing>
      </w:r>
      <w:bookmarkEnd w:id="42"/>
    </w:p>
    <w:bookmarkEnd w:id="41"/>
    <w:bookmarkStart w:name="TtWL2" w:id="43"/>
    <w:p>
      <w:pPr>
        <w:pStyle w:val="Heading3"/>
        <w:spacing w:after="50" w:line="360" w:lineRule="auto" w:beforeLines="100"/>
        <w:ind w:left="0"/>
        <w:jc w:val="left"/>
      </w:pPr>
      <w:r>
        <w:rPr>
          <w:rFonts w:ascii="宋体" w:hAnsi="Times New Roman" w:eastAsia="宋体"/>
          <w:color w:val="121212"/>
        </w:rPr>
        <w:t>NuScenes Detection Score（NDS）</w:t>
      </w:r>
    </w:p>
    <w:bookmarkEnd w:id="43"/>
    <w:bookmarkStart w:name="u3aa0637e" w:id="44"/>
    <w:p>
      <w:pPr>
        <w:spacing w:after="50" w:line="360" w:lineRule="auto" w:beforeLines="100"/>
        <w:ind w:left="0"/>
        <w:jc w:val="left"/>
      </w:pPr>
      <w:r>
        <w:rPr>
          <w:rFonts w:ascii="宋体" w:hAnsi="Times New Roman" w:eastAsia="宋体"/>
          <w:b w:val="false"/>
          <w:i w:val="false"/>
          <w:color w:val="000000"/>
          <w:sz w:val="22"/>
        </w:rPr>
        <w:t>nuScenes官方提供的指标</w:t>
      </w:r>
    </w:p>
    <w:bookmarkEnd w:id="44"/>
    <w:bookmarkStart w:name="u90322294" w:id="45"/>
    <w:p>
      <w:pPr>
        <w:spacing w:after="50" w:line="360" w:lineRule="auto" w:beforeLines="100"/>
        <w:ind w:left="0"/>
        <w:jc w:val="left"/>
      </w:pPr>
      <w:bookmarkStart w:name="u54eae42c" w:id="46"/>
      <w:r>
        <w:rPr>
          <w:rFonts w:eastAsia="宋体" w:ascii="宋体"/>
        </w:rPr>
        <w:drawing>
          <wp:inline distT="0" distB="0" distL="0" distR="0">
            <wp:extent cx="4318000" cy="62179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8"/>
                    <a:stretch>
                      <a:fillRect/>
                    </a:stretch>
                  </pic:blipFill>
                  <pic:spPr>
                    <a:xfrm>
                      <a:off x="0" y="0"/>
                      <a:ext cx="4318000" cy="621792"/>
                    </a:xfrm>
                    <a:prstGeom prst="rect">
                      <a:avLst/>
                    </a:prstGeom>
                  </pic:spPr>
                </pic:pic>
              </a:graphicData>
            </a:graphic>
          </wp:inline>
        </w:drawing>
      </w:r>
      <w:bookmarkEnd w:id="46"/>
    </w:p>
    <w:bookmarkEnd w:id="45"/>
    <w:bookmarkStart w:name="u1621fbb7" w:id="47"/>
    <w:bookmarkEnd w:id="47"/>
    <w:bookmarkStart w:name="CbexP" w:id="48"/>
    <w:p>
      <w:pPr>
        <w:pStyle w:val="Heading2"/>
        <w:spacing w:after="50" w:line="360" w:lineRule="auto" w:beforeLines="100"/>
        <w:ind w:left="0"/>
        <w:jc w:val="left"/>
      </w:pPr>
      <w:r>
        <w:rPr>
          <w:rFonts w:ascii="宋体" w:hAnsi="Times New Roman" w:eastAsia="宋体"/>
        </w:rPr>
        <w:t>总结</w:t>
      </w:r>
    </w:p>
    <w:bookmarkEnd w:id="48"/>
    <w:bookmarkStart w:name="uaa4caf46" w:id="49"/>
    <w:p>
      <w:pPr>
        <w:spacing w:after="50" w:line="360" w:lineRule="auto" w:beforeLines="100"/>
        <w:ind w:left="0"/>
        <w:jc w:val="left"/>
      </w:pPr>
      <w:r>
        <w:rPr>
          <w:rFonts w:ascii="宋体" w:hAnsi="Times New Roman" w:eastAsia="宋体"/>
          <w:b w:val="false"/>
          <w:i w:val="false"/>
          <w:color w:val="000000"/>
          <w:sz w:val="22"/>
        </w:rPr>
        <w:t>FCOS3D是具有代表性的基于单目相机进行深度估计的方法，其他刷榜的基于单目的3D检测方法大多是基于该方法进行的改进，如</w:t>
      </w:r>
      <w:hyperlink r:id="rId19">
        <w:r>
          <w:rPr>
            <w:rFonts w:ascii="宋体" w:hAnsi="Times New Roman" w:eastAsia="宋体"/>
            <w:b w:val="false"/>
            <w:i w:val="false"/>
            <w:color w:val="0000ff"/>
            <w:sz w:val="22"/>
            <w:u w:val="single"/>
          </w:rPr>
          <w:t/>
        </w:r>
        <w:r>
          <w:rPr>
            <w:rFonts w:ascii="宋体" w:hAnsi="Times New Roman" w:eastAsia="宋体"/>
            <w:b w:val="false"/>
            <w:i w:val="false"/>
            <w:color w:val="0000ff"/>
            <w:sz w:val="24"/>
          </w:rPr>
          <w:t>PGD_Camera</w:t>
        </w:r>
      </w:hyperlink>
      <w:r>
        <w:rPr>
          <w:rFonts w:ascii="宋体" w:hAnsi="Times New Roman" w:eastAsia="宋体"/>
          <w:b w:val="false"/>
          <w:i w:val="false"/>
          <w:color w:val="1e1e1e"/>
          <w:sz w:val="24"/>
        </w:rPr>
        <w:t>，基于FCOS3D框架，在深度估计头上加入了概率和几何深度学习来进一步提升深度估计的准确性。</w:t>
      </w:r>
    </w:p>
    <w:bookmarkEnd w:id="49"/>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1">
      <w:start w:val="1"/>
      <w:numFmt w:val="bullet"/>
      <w:lvlText w:val="o"/>
      <w:lvlJc w:val="left"/>
      <w:pPr>
        <w:ind w:left="1560" w:hanging="360"/>
      </w:pPr>
      <w:rPr>
        <w:rFonts w:hint="default" w:ascii="Courier New" w:hAnsi="Courier New" w:cs="Courier New"/>
      </w:rPr>
    </w:lvl>
  </w:abstractNum>
  <w:abstractNum w:abstractNumId="3">
    <w:multiLevelType w:val="multilevel"/>
    <w:lvl w:ilvl="1">
      <w:start w:val="1"/>
      <w:numFmt w:val="bullet"/>
      <w:lvlText w:val="o"/>
      <w:lvlJc w:val="left"/>
      <w:pPr>
        <w:ind w:left="1560" w:hanging="360"/>
      </w:pPr>
      <w:rPr>
        <w:rFonts w:hint="default" w:ascii="Courier New" w:hAnsi="Courier New" w:cs="Courier New"/>
      </w:rPr>
    </w:lvl>
  </w:abstractNum>
  <w:abstractNum w:abstractNumId="4">
    <w:multiLevelType w:val="multilevel"/>
    <w:lvl w:ilvl="1">
      <w:start w:val="1"/>
      <w:numFmt w:val="bullet"/>
      <w:lvlText w:val="o"/>
      <w:lvlJc w:val="left"/>
      <w:pPr>
        <w:ind w:left="1560" w:hanging="360"/>
      </w:pPr>
      <w:rPr>
        <w:rFonts w:hint="default" w:ascii="Courier New" w:hAnsi="Courier New" w:cs="Courier New"/>
      </w:rPr>
    </w:lvl>
  </w:abstractNum>
  <w:abstractNum w:abstractNumId="5">
    <w:multiLevelType w:val="multilevel"/>
    <w:lvl w:ilvl="0">
      <w:start w:val="1"/>
      <w:numFmt w:val="bullet"/>
      <w:lvlText w:val=""/>
      <w:lvlJc w:val="left"/>
      <w:pPr>
        <w:ind w:left="960" w:hanging="360"/>
      </w:pPr>
      <w:rPr>
        <w:rFonts w:hint="default" w:ascii="Symbol" w:hAnsi="Symbol"/>
      </w:rPr>
    </w:lvl>
  </w:abstractNum>
  <w:abstractNum w:abstractNumId="6">
    <w:multiLevelType w:val="multilevel"/>
    <w:lvl w:ilvl="0">
      <w:start w:val="1"/>
      <w:numFmt w:val="bullet"/>
      <w:lvlText w:val=""/>
      <w:lvlJc w:val="left"/>
      <w:pPr>
        <w:ind w:left="96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media/document_image_rId10.png" Type="http://schemas.openxmlformats.org/officeDocument/2006/relationships/image"/><Relationship Id="rId11" Target="media/document_image_rId11.png" Type="http://schemas.openxmlformats.org/officeDocument/2006/relationships/image"/><Relationship Id="rId12" Target="media/document_image_rId12.png" Type="http://schemas.openxmlformats.org/officeDocument/2006/relationships/image"/><Relationship Id="rId13" Target="media/document_image_rId13.png" Type="http://schemas.openxmlformats.org/officeDocument/2006/relationships/image"/><Relationship Id="rId14" Target="media/document_image_rId14.png" Type="http://schemas.openxmlformats.org/officeDocument/2006/relationships/image"/><Relationship Id="rId15" Target="media/document_image_rId15.png" Type="http://schemas.openxmlformats.org/officeDocument/2006/relationships/image"/><Relationship Id="rId16" Target="media/document_image_rId16.png" Type="http://schemas.openxmlformats.org/officeDocument/2006/relationships/image"/><Relationship Id="rId17" Target="media/document_image_rId17.png" Type="http://schemas.openxmlformats.org/officeDocument/2006/relationships/image"/><Relationship Id="rId18" Target="media/document_image_rId18.png" Type="http://schemas.openxmlformats.org/officeDocument/2006/relationships/image"/><Relationship Id="rId19" Target="https://github.com/open-mmlab/mmdetection3d/tree/master/configs/pgd" TargetMode="External" Type="http://schemas.openxmlformats.org/officeDocument/2006/relationships/hyperlink"/><Relationship Id="rId2" Target="settings.xml" Type="http://schemas.openxmlformats.org/officeDocument/2006/relationships/settings"/><Relationship Id="rId3" Target="numbering.xml" Type="http://schemas.openxmlformats.org/officeDocument/2006/relationships/numbering"/><Relationship Id="rId4" Target="https://arxiv.org/pdf/2104.10956.pdf" TargetMode="External" Type="http://schemas.openxmlformats.org/officeDocument/2006/relationships/hyperlink"/><Relationship Id="rId5" Target="media/document_image_rId5.png" Type="http://schemas.openxmlformats.org/officeDocument/2006/relationships/image"/><Relationship Id="rId6" Target="media/document_image_rId6.png" Type="http://schemas.openxmlformats.org/officeDocument/2006/relationships/image"/><Relationship Id="rId7" Target="media/document_image_rId7.png" Type="http://schemas.openxmlformats.org/officeDocument/2006/relationships/image"/><Relationship Id="rId8" Target="media/document_image_rId8.png" Type="http://schemas.openxmlformats.org/officeDocument/2006/relationships/image"/><Relationship Id="rId9" Target="media/document_image_rId9.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