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HybridNets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cmrqY" w:id="0"/>
      <w:r>
        <w:rPr>
          <w:rFonts w:ascii="宋体" w:hAnsi="Times New Roman" w:eastAsia="宋体"/>
        </w:rPr>
        <w:t>HybridNets: End-to-End Perception Network</w:t>
      </w:r>
    </w:p>
    <w:bookmarkEnd w:id="0"/>
    <w:bookmarkStart w:name="u1edbc57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论文地址：</w:t>
      </w:r>
    </w:p>
    <w:bookmarkEnd w:id="1"/>
    <w:bookmarkStart w:name="ub66da833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https://arxiv.org/pdf/2203.09035v1.pdf</w:t>
        </w:r>
      </w:hyperlink>
    </w:p>
    <w:bookmarkEnd w:id="2"/>
    <w:bookmarkStart w:name="u3fa7a9c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代码地址：</w:t>
      </w:r>
    </w:p>
    <w:bookmarkEnd w:id="3"/>
    <w:bookmarkStart w:name="uc6f3764a" w:id="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https://github.com/datvuthanh/HybridNets</w:t>
        </w:r>
      </w:hyperlink>
    </w:p>
    <w:bookmarkEnd w:id="4"/>
    <w:bookmarkStart w:name="u3f1c85c3" w:id="5"/>
    <w:bookmarkEnd w:id="5"/>
    <w:bookmarkStart w:name="u74e56a43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其只有两个检测头，一个detection head，一个segmentation head。分割部分直接得到3个类别，背景，可行驶区域，车道线。</w:t>
      </w:r>
    </w:p>
    <w:bookmarkEnd w:id="6"/>
    <w:bookmarkStart w:name="u5436952c" w:id="7"/>
    <w:p>
      <w:pPr>
        <w:spacing w:after="50" w:line="360" w:lineRule="auto" w:beforeLines="100"/>
        <w:ind w:left="0"/>
        <w:jc w:val="left"/>
      </w:pPr>
      <w:bookmarkStart w:name="uab8ee54a" w:id="8"/>
      <w:r>
        <w:rPr>
          <w:rFonts w:eastAsia="宋体" w:ascii="宋体"/>
        </w:rPr>
        <w:drawing>
          <wp:inline distT="0" distB="0" distL="0" distR="0">
            <wp:extent cx="5842000" cy="27981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3466" cy="45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GVeAm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21eaa"/>
        </w:rPr>
        <w:t>Encoder</w:t>
      </w:r>
    </w:p>
    <w:bookmarkEnd w:id="9"/>
    <w:bookmarkStart w:name="u42a8e025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a1a1a"/>
          <w:sz w:val="22"/>
        </w:rPr>
        <w:t>该网络中的编码器由骨干网络与Neck网络构成：</w:t>
      </w:r>
    </w:p>
    <w:bookmarkEnd w:id="10"/>
    <w:bookmarkStart w:name="u91806196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Backbone</w:t>
      </w:r>
      <w:r>
        <w:rPr>
          <w:rFonts w:ascii="宋体" w:hAnsi="Times New Roman" w:eastAsia="宋体"/>
          <w:b w:val="false"/>
          <w:i w:val="false"/>
          <w:color w:val="1a1a1a"/>
          <w:sz w:val="22"/>
        </w:rPr>
        <w:t xml:space="preserve"> ：其骨干网络基于</w:t>
      </w:r>
      <w:r>
        <w:rPr>
          <w:rFonts w:ascii="宋体" w:hAnsi="Times New Roman" w:eastAsia="宋体"/>
          <w:b w:val="false"/>
          <w:i w:val="false"/>
          <w:color w:val="000000"/>
          <w:sz w:val="21"/>
          <w:shd w:fill="ffffff"/>
        </w:rPr>
        <w:t>EfficientNet-B3。</w:t>
      </w:r>
    </w:p>
    <w:bookmarkEnd w:id="11"/>
    <w:bookmarkStart w:name="ucc4caf93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Neck</w:t>
      </w:r>
      <w:r>
        <w:rPr>
          <w:rFonts w:ascii="宋体" w:hAnsi="Times New Roman" w:eastAsia="宋体"/>
          <w:b w:val="false"/>
          <w:i w:val="false"/>
          <w:color w:val="1a1a1a"/>
          <w:sz w:val="22"/>
        </w:rPr>
        <w:t xml:space="preserve"> ：Neck用于对骨干网络提取的特征进行融合，采用基于</w:t>
      </w:r>
      <w:r>
        <w:rPr>
          <w:rFonts w:ascii="宋体" w:hAnsi="Times New Roman" w:eastAsia="宋体"/>
          <w:b w:val="false"/>
          <w:i w:val="false"/>
          <w:color w:val="000000"/>
          <w:sz w:val="24"/>
          <w:shd w:fill="ffffff"/>
        </w:rPr>
        <w:t xml:space="preserve">BiFPN的EfficientDet. </w:t>
      </w:r>
    </w:p>
    <w:bookmarkEnd w:id="12"/>
    <w:bookmarkStart w:name="CpqSS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21eaa"/>
        </w:rPr>
        <w:t>Decoders</w:t>
      </w:r>
    </w:p>
    <w:bookmarkEnd w:id="13"/>
    <w:bookmarkStart w:name="uf838d939" w:id="14"/>
    <w:p>
      <w:pPr>
        <w:spacing w:after="50" w:line="360" w:lineRule="auto" w:beforeLines="100"/>
        <w:ind w:left="0"/>
        <w:jc w:val="left"/>
      </w:pPr>
      <w:bookmarkStart w:name="u5d8482bd" w:id="15"/>
      <w:r>
        <w:rPr>
          <w:rFonts w:eastAsia="宋体" w:ascii="宋体"/>
        </w:rPr>
        <w:drawing>
          <wp:inline distT="0" distB="0" distL="0" distR="0">
            <wp:extent cx="4893733" cy="38556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8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bookmarkStart w:name="qk3bl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21eaa"/>
        </w:rPr>
        <w:t>Training Paradigm</w:t>
      </w:r>
    </w:p>
    <w:bookmarkEnd w:id="16"/>
    <w:bookmarkStart w:name="u195e9941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该多任务训练相对简单，先完整训练目标检测任务，再锁定编码器和检测头参数，训练分割头。</w:t>
      </w:r>
    </w:p>
    <w:bookmarkEnd w:id="17"/>
    <w:bookmarkStart w:name="ud0f79416" w:id="18"/>
    <w:p>
      <w:pPr>
        <w:spacing w:after="50" w:line="360" w:lineRule="auto" w:beforeLines="100"/>
        <w:ind w:left="0"/>
        <w:jc w:val="left"/>
      </w:pPr>
      <w:bookmarkStart w:name="uf6650fec" w:id="19"/>
      <w:r>
        <w:rPr>
          <w:rFonts w:eastAsia="宋体" w:ascii="宋体"/>
        </w:rPr>
        <w:drawing>
          <wp:inline distT="0" distB="0" distL="0" distR="0">
            <wp:extent cx="5249334" cy="10498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334" cy="10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3vvS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结果</w:t>
      </w:r>
    </w:p>
    <w:bookmarkEnd w:id="20"/>
    <w:bookmarkStart w:name="u0cc57ad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该方法目前在BDD100K上达到SOTA水平。</w:t>
      </w:r>
    </w:p>
    <w:bookmarkEnd w:id="2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rxiv.org/pdf/2203.09035v1.pdf" TargetMode="External" Type="http://schemas.openxmlformats.org/officeDocument/2006/relationships/hyperlink"/><Relationship Id="rId5" Target="https://github.com/datvuthanh/HybridNets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