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Multi-View 3D Object Detection Network for Autonomous Driving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uZmxa" w:id="0"/>
      <w:r>
        <w:rPr>
          <w:rFonts w:ascii="宋体" w:hAnsi="Times New Roman" w:eastAsia="宋体"/>
        </w:rPr>
        <w:t>论文地址</w:t>
      </w:r>
    </w:p>
    <w:bookmarkEnd w:id="0"/>
    <w:bookmarkStart w:name="ue2b109c8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hhttps://arxiv.org/abs/1611.07759</w:t>
        </w:r>
      </w:hyperlink>
    </w:p>
    <w:bookmarkEnd w:id="1"/>
    <w:bookmarkStart w:name="udfdfc8ce" w:id="2"/>
    <w:bookmarkEnd w:id="2"/>
    <w:bookmarkStart w:name="WV09O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代码地址</w:t>
      </w:r>
    </w:p>
    <w:bookmarkEnd w:id="3"/>
    <w:bookmarkStart w:name="udf1c4870" w:id="4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https://github.com/bostondiditeam/MV3D</w:t>
        </w:r>
      </w:hyperlink>
    </w:p>
    <w:bookmarkEnd w:id="4"/>
    <w:bookmarkStart w:name="u81425c3a" w:id="5"/>
    <w:bookmarkEnd w:id="5"/>
    <w:bookmarkStart w:name="IfIaI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模型架构</w:t>
      </w:r>
    </w:p>
    <w:bookmarkEnd w:id="6"/>
    <w:bookmarkStart w:name="ua718dc8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融合了视觉和雷达点云信息，同时与基于voxel的方法不同，MV3D只用了点云的俯视图和前视图，可以降低计算量同时又不至于丧失过多的信息。随后生成3D候选区域，把特征和候选区域融合后输出最终的目标检测框</w:t>
      </w:r>
    </w:p>
    <w:bookmarkEnd w:id="7"/>
    <w:bookmarkStart w:name="uf50f91bf" w:id="8"/>
    <w:p>
      <w:pPr>
        <w:spacing w:after="50" w:line="360" w:lineRule="auto" w:beforeLines="100"/>
        <w:ind w:left="0"/>
        <w:jc w:val="left"/>
      </w:pPr>
      <w:bookmarkStart w:name="u3686dcec" w:id="9"/>
      <w:r>
        <w:rPr>
          <w:rFonts w:eastAsia="宋体" w:ascii="宋体"/>
        </w:rPr>
        <w:drawing>
          <wp:inline distT="0" distB="0" distL="0" distR="0">
            <wp:extent cx="5842000" cy="29969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3066" cy="520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bookmarkStart w:name="iRO4r" w:id="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本文设计的方法具体步骤如下:</w:t>
      </w:r>
    </w:p>
    <w:bookmarkEnd w:id="10"/>
    <w:bookmarkStart w:name="u7612bc96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提取特征</w:t>
      </w:r>
    </w:p>
    <w:bookmarkEnd w:id="11"/>
    <w:bookmarkStart w:name="ue610b397" w:id="12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提取点云俯视图特征</w:t>
      </w:r>
    </w:p>
    <w:bookmarkEnd w:id="12"/>
    <w:bookmarkStart w:name="ua86b6902" w:id="13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提取点云前视图特征</w:t>
      </w:r>
    </w:p>
    <w:bookmarkEnd w:id="13"/>
    <w:bookmarkStart w:name="u223035a1" w:id="14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提取图像特征</w:t>
      </w:r>
    </w:p>
    <w:bookmarkEnd w:id="14"/>
    <w:bookmarkStart w:name="u3fab8a19" w:id="1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21212"/>
          <w:sz w:val="22"/>
        </w:rPr>
        <w:t>从点云俯视图特征中计算候选区域</w:t>
      </w:r>
    </w:p>
    <w:bookmarkEnd w:id="15"/>
    <w:bookmarkStart w:name="u607733ae" w:id="1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21212"/>
          <w:sz w:val="22"/>
        </w:rPr>
        <w:t>把候选区域分别与1）中a、b、c得到的特征进行整合</w:t>
      </w:r>
    </w:p>
    <w:bookmarkEnd w:id="16"/>
    <w:bookmarkStart w:name="ue8223c65" w:id="17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121212"/>
          <w:sz w:val="22"/>
        </w:rPr>
        <w:t>把俯视图候选区域投影到前视图和图像中</w:t>
      </w:r>
    </w:p>
    <w:bookmarkEnd w:id="17"/>
    <w:bookmarkStart w:name="u8054fa8f" w:id="18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121212"/>
          <w:sz w:val="22"/>
        </w:rPr>
        <w:t>经过ROI pooling整合成同一维度</w:t>
      </w:r>
    </w:p>
    <w:bookmarkEnd w:id="18"/>
    <w:bookmarkStart w:name="u80cbee6b" w:id="19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121212"/>
          <w:sz w:val="22"/>
        </w:rPr>
        <w:t>把整合后的数据经过网络进行融合</w:t>
      </w:r>
    </w:p>
    <w:bookmarkEnd w:id="19"/>
    <w:bookmarkStart w:name="u630f84a6" w:id="20"/>
    <w:bookmarkEnd w:id="20"/>
    <w:bookmarkStart w:name="KLN9Q" w:id="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提取特征</w:t>
      </w:r>
    </w:p>
    <w:bookmarkEnd w:id="21"/>
    <w:bookmarkStart w:name="W2hig" w:id="2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21212"/>
        </w:rPr>
        <w:t>提取俯视图特征</w:t>
      </w:r>
    </w:p>
    <w:bookmarkEnd w:id="22"/>
    <w:bookmarkStart w:name="ud61b9a28" w:id="23"/>
    <w:p>
      <w:pPr>
        <w:numPr>
          <w:ilvl w:val="0"/>
          <w:numId w:val="5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鸟瞰图的表示是</w:t>
      </w:r>
      <w:r>
        <w:rPr>
          <w:rFonts w:ascii="宋体" w:hAnsi="Times New Roman" w:eastAsia="宋体"/>
          <w:b/>
          <w:i w:val="false"/>
          <w:color w:val="e8323c"/>
          <w:sz w:val="22"/>
        </w:rPr>
        <w:t>高度、强度和密度编码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的。MV3D将投影点云离散化为分辨率为0.1m的2D网格。对于每个单元，</w:t>
      </w:r>
      <w:r>
        <w:rPr>
          <w:rFonts w:ascii="宋体" w:hAnsi="Times New Roman" w:eastAsia="宋体"/>
          <w:b/>
          <w:i w:val="false"/>
          <w:color w:val="4d4d4d"/>
          <w:sz w:val="22"/>
        </w:rPr>
        <w:t>高度特征计算为单元中点的最大高度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。为了对更详细的高度信息进行编码(</w:t>
      </w:r>
      <w:r>
        <w:rPr>
          <w:rFonts w:ascii="宋体" w:hAnsi="Times New Roman" w:eastAsia="宋体"/>
          <w:b/>
          <w:i w:val="false"/>
          <w:color w:val="4d4d4d"/>
          <w:sz w:val="22"/>
        </w:rPr>
        <w:t>后续基于此可以生成3D propsocal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)，将点云平均分为M个切片。为每个切片计算一个高度图，因此获得M个高度图。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强度特征是每个单元中具有最大高度的点的反射率值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。点云密度表示每个单元中点的数量。为了规范化特征，将其计算为min(1.0，(log(N+1))/(log(64)))，其中N是单元中的点数。请注意，强度和密度特征是针对整个点云计算的，而高度特征是针对M个切片计算的，因此总的来说，鸟瞰图被编码为</w:t>
      </w:r>
      <w:r>
        <w:rPr>
          <w:rFonts w:ascii="宋体" w:hAnsi="Times New Roman" w:eastAsia="宋体"/>
          <w:b/>
          <w:i w:val="false"/>
          <w:color w:val="e8323c"/>
          <w:sz w:val="22"/>
        </w:rPr>
        <w:t>（M + 2）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通道特征</w:t>
      </w:r>
    </w:p>
    <w:bookmarkEnd w:id="23"/>
    <w:bookmarkStart w:name="uc98275b8" w:id="24"/>
    <w:p>
      <w:pPr>
        <w:spacing w:after="50" w:line="360" w:lineRule="auto" w:beforeLines="100"/>
        <w:ind w:left="0"/>
        <w:jc w:val="left"/>
      </w:pPr>
      <w:bookmarkStart w:name="u64961ccb" w:id="25"/>
      <w:r>
        <w:rPr>
          <w:rFonts w:eastAsia="宋体" w:ascii="宋体"/>
        </w:rPr>
        <w:drawing>
          <wp:inline distT="0" distB="0" distL="0" distR="0">
            <wp:extent cx="5841999" cy="12735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08267" cy="24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bookmarkStart w:name="u58e733a5" w:id="26"/>
    <w:p>
      <w:pPr>
        <w:numPr>
          <w:ilvl w:val="0"/>
          <w:numId w:val="6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前视图表示为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鸟瞰视图表示提供补充信息。由于LIDAR点云非常稀疏，因此将其投影到图像平面中会生成稀疏的2D点图。相反，将它投影到一个柱面来生成一个密集的前视图映射。给定3D点p=(x,y,z),可以使用以下公式计算其在前视图中的坐标p_fv=(r,c), 其中∆θ和∆φ分别是激光束的水平和垂直分辨率</w:t>
      </w:r>
    </w:p>
    <w:bookmarkEnd w:id="26"/>
    <w:bookmarkStart w:name="ube8dbd2d" w:id="27"/>
    <w:p>
      <w:pPr>
        <w:spacing w:after="50" w:line="360" w:lineRule="auto" w:beforeLines="100"/>
        <w:ind w:left="0"/>
        <w:jc w:val="center"/>
      </w:pPr>
      <w:bookmarkStart w:name="u73a5d5fe" w:id="28"/>
      <w:r>
        <w:rPr>
          <w:rFonts w:eastAsia="宋体" w:ascii="宋体"/>
        </w:rPr>
        <w:drawing>
          <wp:inline distT="0" distB="0" distL="0" distR="0">
            <wp:extent cx="2167467" cy="52952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5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bookmarkEnd w:id="27"/>
    <w:bookmarkStart w:name="q38na" w:id="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RPN网络</w:t>
      </w:r>
    </w:p>
    <w:bookmarkEnd w:id="29"/>
    <w:bookmarkStart w:name="udcf23ea2" w:id="30"/>
    <w:p>
      <w:pPr>
        <w:numPr>
          <w:ilvl w:val="0"/>
          <w:numId w:val="7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受区域建议网络(RPN)启发，首先设计了一个网络来生成</w:t>
      </w:r>
      <w:r>
        <w:rPr>
          <w:rFonts w:ascii="宋体" w:hAnsi="Times New Roman" w:eastAsia="宋体"/>
          <w:b/>
          <w:i w:val="false"/>
          <w:color w:val="e8323c"/>
          <w:sz w:val="22"/>
        </w:rPr>
        <w:t>三维物体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建议。使用鸟瞰图作为输入。在3D对象检测中，鸟瞰图与正视图/图像平面相比具有多个优势</w:t>
      </w:r>
    </w:p>
    <w:bookmarkEnd w:id="30"/>
    <w:bookmarkStart w:name="ud520addf" w:id="31"/>
    <w:p>
      <w:pPr>
        <w:numPr>
          <w:ilvl w:val="1"/>
          <w:numId w:val="8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首先，对象在投影到鸟瞰图时会保留物理尺寸，因此尺寸变化很小，而在前视图/图像平面中则不是这种情况</w:t>
      </w:r>
    </w:p>
    <w:bookmarkEnd w:id="31"/>
    <w:bookmarkStart w:name="uf24af0d4" w:id="32"/>
    <w:p>
      <w:pPr>
        <w:numPr>
          <w:ilvl w:val="1"/>
          <w:numId w:val="8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其次，鸟瞰图中的物体占据了不同的空间，从而避免了遮挡问题</w:t>
      </w:r>
    </w:p>
    <w:bookmarkEnd w:id="32"/>
    <w:bookmarkStart w:name="u55ca9d79" w:id="33"/>
    <w:p>
      <w:pPr>
        <w:numPr>
          <w:ilvl w:val="1"/>
          <w:numId w:val="8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第三，在道路场景中，由于对象通常位于地平面上并且垂直位置的变化很小，因此鸟瞰位置对于获取准确的3D边界框至关重要</w:t>
      </w:r>
    </w:p>
    <w:bookmarkEnd w:id="33"/>
    <w:bookmarkStart w:name="u0fa16b59" w:id="34"/>
    <w:p>
      <w:pPr>
        <w:numPr>
          <w:ilvl w:val="0"/>
          <w:numId w:val="9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给出鸟瞰图。网络会从一组3D先验框生成3D框建议。每个3D框都由（x，y，z，l，w，h）参数化，它们是LIDAR坐标系中3D框的中心和大小（以米为单位）。对于每个3D先验框，可以通过离散化（x，y，l，w）来获得相应的鸟瞰锚点（x_bv，y_bv，l_bv，w_bv）。通过在训练集中聚类地面真实物体大小来设计</w:t>
      </w:r>
      <w:r>
        <w:rPr>
          <w:rFonts w:ascii="宋体" w:hAnsi="Times New Roman" w:eastAsia="宋体"/>
          <w:b/>
          <w:i w:val="false"/>
          <w:color w:val="4d4d4d"/>
          <w:sz w:val="22"/>
        </w:rPr>
        <w:t>N个3D先验框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。</w:t>
      </w:r>
      <w:r>
        <w:rPr>
          <w:rFonts w:ascii="宋体" w:hAnsi="Times New Roman" w:eastAsia="宋体"/>
          <w:b/>
          <w:i w:val="false"/>
          <w:color w:val="e8323c"/>
          <w:sz w:val="22"/>
        </w:rPr>
        <w:t>在car detection情况下，先验box的(l,w)取{(3.9,1.6)，(1.0,0.6)}的值，高度h设置为1.56m。通过将鸟瞰图锚点旋转90度，我们得到N = 4个先验框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。(x, y)为鸟瞰图特征点的变化位置，可以根据相机高度和物体高度计算出z。在生成建议时，不做方向回归，而将其留到下一个预测阶段。3D框的方向限于{0◦，90◦}，与大多数道路场景对象的实际方向接近。这种简化使得建议回归的训练更容易</w:t>
      </w:r>
    </w:p>
    <w:bookmarkEnd w:id="34"/>
    <w:bookmarkStart w:name="ucb17fd12" w:id="35"/>
    <w:p>
      <w:pPr>
        <w:numPr>
          <w:ilvl w:val="0"/>
          <w:numId w:val="9"/>
        </w:numPr>
        <w:spacing w:after="50" w:line="360" w:lineRule="auto" w:beforeLines="100"/>
        <w:ind w:left="360"/>
        <w:jc w:val="center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离散化分辨率为0.1m，鸟瞰图中的对象框仅占据5-40像素。对于深度网络而言，检测此类超小型物体仍然是一个难题。一种可能的解决方案是使用更高的输入分辨率，但是这将需要更多的计算。这里选择了特征映射上采样。在建议网络的最后一个卷积层之后，使用2倍双线性上采样。在实现中，前端卷积仅进行三个池化操作，即8x下采样。因此，结合2倍的反卷积，馈送至</w:t>
      </w:r>
      <w:r>
        <w:rPr>
          <w:rFonts w:ascii="宋体" w:hAnsi="Times New Roman" w:eastAsia="宋体"/>
          <w:b/>
          <w:i w:val="false"/>
          <w:color w:val="e8323c"/>
          <w:sz w:val="22"/>
        </w:rPr>
        <w:t>建议网络的特征图相对于鸟瞰输入降低了4倍的采样率</w:t>
      </w:r>
    </w:p>
    <w:bookmarkEnd w:id="35"/>
    <w:bookmarkStart w:name="u2a32f88e" w:id="36"/>
    <w:p>
      <w:pPr>
        <w:numPr>
          <w:ilvl w:val="0"/>
          <w:numId w:val="9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通过回归到t =(∆x，∆y，∆z，∆l，∆w，∆h)进行3D 框回归。（Δx，Δy，Δz）是通过锚点尺寸归一化的中心偏移量，（Δl，Δw，Δh）由Δs= log s_GT/s_anchor ，s∈{l，w，h}计算。使用多任务损失同时分类对象/背景和做3D框回归。特别地，将类熵用于“对象”损失，将Smooth l_1用于3D框回归损失。计算框回归损失时，将忽略背景锚。在训练期间，</w:t>
      </w:r>
      <w:r>
        <w:rPr>
          <w:rFonts w:ascii="宋体" w:hAnsi="Times New Roman" w:eastAsia="宋体"/>
          <w:b/>
          <w:i w:val="false"/>
          <w:color w:val="4d4d4d"/>
          <w:sz w:val="22"/>
        </w:rPr>
        <w:t>计算锚点和地面真相鸟瞰图框之间的IoU重叠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。如果锚点的重叠度大于0.7，则将其视为正值；如果重叠度小于0.5，则将其视为负值。锚点之间重叠的锚将被忽略</w:t>
      </w:r>
    </w:p>
    <w:bookmarkEnd w:id="36"/>
    <w:bookmarkStart w:name="uf9e317b7" w:id="37"/>
    <w:p>
      <w:pPr>
        <w:numPr>
          <w:ilvl w:val="0"/>
          <w:numId w:val="9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由于LIDAR点云的稀疏性，导致许多空锚，因此在训练和测试过程中，会移除所有空锚，以减少计算量。这可以通过计算点占用图上的积分图像来实现</w:t>
      </w:r>
    </w:p>
    <w:bookmarkEnd w:id="37"/>
    <w:bookmarkStart w:name="u4f165264" w:id="38"/>
    <w:p>
      <w:pPr>
        <w:numPr>
          <w:ilvl w:val="0"/>
          <w:numId w:val="9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对于最后一个卷积特征图每个位置上的每个非空锚，网络会生成一个3D框。为了减少冗余，在鸟瞰框上应用了非最大抑制（NMS）。这里没有使用3D NMS，因为对象在地平面上应该占据不同的空间。对于NMS，将IoU阈值设置为0.7。在训练过程中保留了前2000个框，而在测试中，只使用了300个框</w:t>
      </w:r>
    </w:p>
    <w:bookmarkEnd w:id="38"/>
    <w:bookmarkStart w:name="u0c5c13d5" w:id="39"/>
    <w:bookmarkEnd w:id="39"/>
    <w:bookmarkStart w:name="l6bwS" w:id="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基于区域的融合网络</w:t>
      </w:r>
    </w:p>
    <w:bookmarkEnd w:id="40"/>
    <w:bookmarkStart w:name="ud6ae9e99" w:id="4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4d4d4d"/>
          <w:sz w:val="22"/>
        </w:rPr>
        <w:t>多视图ROI池化</w:t>
      </w:r>
    </w:p>
    <w:bookmarkEnd w:id="41"/>
    <w:bookmarkStart w:name="u7ef74633" w:id="42"/>
    <w:p>
      <w:pPr>
        <w:numPr>
          <w:ilvl w:val="0"/>
          <w:numId w:val="10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由于来自不同视图/模式的特征通常具有不同的分辨率，因此对每个视图采用ROI池化以获得相同长度的特征向量.给定生成的3D proposal，可以将它们投影到3D空间中的任何视图。在示例中，将它们投影到三个视图，即鸟瞰（BV），正视图（FV）和像平面（RGB）。给定一个3D proposal -&gt;p_3D，通过以下方式获得每个视图的ROI:</w:t>
      </w:r>
    </w:p>
    <w:bookmarkEnd w:id="42"/>
    <w:bookmarkStart w:name="u03581874" w:id="43"/>
    <w:p>
      <w:pPr>
        <w:spacing w:after="50" w:line="360" w:lineRule="auto" w:beforeLines="100"/>
        <w:ind w:left="0"/>
        <w:jc w:val="center"/>
      </w:pPr>
      <w:bookmarkStart w:name="ue7274b18" w:id="44"/>
      <w:r>
        <w:rPr>
          <w:rFonts w:eastAsia="宋体" w:ascii="宋体"/>
        </w:rPr>
        <w:drawing>
          <wp:inline distT="0" distB="0" distL="0" distR="0">
            <wp:extent cx="2523067" cy="2102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067" cy="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bookmarkEnd w:id="43"/>
    <w:bookmarkStart w:name="uab392bcb" w:id="45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其中T3D→v表示从LIDAR坐标系到鸟瞰图，正视图和像平面的转换函数。给定每个视图前端网络的输入特征映射x，通过ROI池获得固定长度的特征f_v：</w:t>
      </w:r>
    </w:p>
    <w:bookmarkEnd w:id="45"/>
    <w:bookmarkStart w:name="udbbb59a6" w:id="46"/>
    <w:p>
      <w:pPr>
        <w:spacing w:after="50" w:line="360" w:lineRule="auto" w:beforeLines="100"/>
        <w:ind w:left="0"/>
        <w:jc w:val="center"/>
      </w:pPr>
      <w:bookmarkStart w:name="u085e6938" w:id="47"/>
      <w:r>
        <w:rPr>
          <w:rFonts w:eastAsia="宋体" w:ascii="宋体"/>
        </w:rPr>
        <w:drawing>
          <wp:inline distT="0" distB="0" distL="0" distR="0">
            <wp:extent cx="2624667" cy="21655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667" cy="2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bookmarkEnd w:id="46"/>
    <w:bookmarkStart w:name="u46cc0e29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d4d4d"/>
          <w:sz w:val="22"/>
        </w:rPr>
        <w:t>深度融合</w:t>
      </w:r>
    </w:p>
    <w:bookmarkEnd w:id="48"/>
    <w:bookmarkStart w:name="uf0ed94c2" w:id="49"/>
    <w:p>
      <w:pPr>
        <w:numPr>
          <w:ilvl w:val="0"/>
          <w:numId w:val="12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尝试多种方法对特征进行深度融合，具体如下图:</w:t>
      </w:r>
    </w:p>
    <w:bookmarkEnd w:id="49"/>
    <w:bookmarkStart w:name="u60767681" w:id="50"/>
    <w:p>
      <w:pPr>
        <w:spacing w:after="50" w:line="360" w:lineRule="auto" w:beforeLines="100"/>
        <w:ind w:left="0"/>
        <w:jc w:val="center"/>
      </w:pPr>
      <w:bookmarkStart w:name="ubd606596" w:id="51"/>
      <w:r>
        <w:rPr>
          <w:rFonts w:eastAsia="宋体" w:ascii="宋体"/>
        </w:rPr>
        <w:drawing>
          <wp:inline distT="0" distB="0" distL="0" distR="0">
            <wp:extent cx="5740400" cy="42097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2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bookmarkEnd w:id="50"/>
    <w:bookmarkStart w:name="fplgW" w:id="5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实现</w:t>
      </w:r>
    </w:p>
    <w:bookmarkEnd w:id="52"/>
    <w:bookmarkStart w:name="ua9edc279" w:id="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4d4d4d"/>
          <w:sz w:val="22"/>
        </w:rPr>
        <w:t>网络体系结构</w:t>
      </w:r>
    </w:p>
    <w:bookmarkEnd w:id="53"/>
    <w:bookmarkStart w:name="u2256e94a" w:id="5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在多视图网络中，每个视图具有相同的体系结构。基本网络建立在16层VGG网络上，并进行了以下修改：</w:t>
      </w:r>
    </w:p>
    <w:bookmarkEnd w:id="54"/>
    <w:bookmarkStart w:name="u905dd626" w:id="55"/>
    <w:p>
      <w:pPr>
        <w:numPr>
          <w:ilvl w:val="0"/>
          <w:numId w:val="13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通道减少到原始网络的一半。</w:t>
      </w:r>
    </w:p>
    <w:bookmarkEnd w:id="55"/>
    <w:bookmarkStart w:name="u96e5d9be" w:id="56"/>
    <w:p>
      <w:pPr>
        <w:numPr>
          <w:ilvl w:val="0"/>
          <w:numId w:val="13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为了处理超小对象，使用特征逼近来获得高分辨率的特征图。特别地，在将最后一个卷积特征图送入3D Proposal网络之前，插入一个2x双线性上采样层。同样，在BV/FV/RGB分支的ROI池化层之前插入一个4x/4x/2x上采样层。</w:t>
      </w:r>
    </w:p>
    <w:bookmarkEnd w:id="56"/>
    <w:bookmarkStart w:name="ua3e9554b" w:id="57"/>
    <w:p>
      <w:pPr>
        <w:numPr>
          <w:ilvl w:val="0"/>
          <w:numId w:val="13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删除了原始VGG网络中的第4个池化操作，因此网络的卷积部分进行了8倍下采样。</w:t>
      </w:r>
    </w:p>
    <w:bookmarkEnd w:id="57"/>
    <w:bookmarkStart w:name="u993dccc6" w:id="58"/>
    <w:p>
      <w:pPr>
        <w:numPr>
          <w:ilvl w:val="0"/>
          <w:numId w:val="13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在多视图融合网络中，除了原始的fc6和fc7层之外，还添加了一个额外的全连接层fc8。</w:t>
      </w:r>
    </w:p>
    <w:bookmarkEnd w:id="58"/>
    <w:bookmarkStart w:name="ueb6fcd67" w:id="5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通过对来自ImageNet上预训练的VGG-16网络的权重进行采样来初始化参数。尽管网络具有三个分支，但参数数量约为VGG-16网络的75％。在GeForce Titan X GPU上，一幅图像的网络推断时间约为0.36s</w:t>
      </w:r>
    </w:p>
    <w:bookmarkEnd w:id="59"/>
    <w:bookmarkStart w:name="u58533026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d4d4d"/>
          <w:sz w:val="22"/>
        </w:rPr>
        <w:t>输入表示形式</w:t>
      </w:r>
    </w:p>
    <w:bookmarkEnd w:id="60"/>
    <w:bookmarkStart w:name="u742d6b3f" w:id="6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对于KITTI，它仅提供正视图（大约90°视场）中对象的注释，这里使用[0，70.4]×[-40，40]米范围内的点云。当投影到图像平面时，将删除超出图像边界的点。对于鸟瞰图，离散化分辨率设置为0.1m，因此鸟瞰图输入的大小为</w:t>
      </w:r>
      <w:r>
        <w:rPr>
          <w:rFonts w:ascii="宋体" w:hAnsi="Times New Roman" w:eastAsia="宋体"/>
          <w:b/>
          <w:i w:val="false"/>
          <w:color w:val="e8323c"/>
          <w:sz w:val="22"/>
        </w:rPr>
        <w:t>704×800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。由于KITTI使用64光束Velodyne激光扫描仪，因此可以获得前视点的</w:t>
      </w:r>
      <w:r>
        <w:rPr>
          <w:rFonts w:ascii="宋体" w:hAnsi="Times New Roman" w:eastAsia="宋体"/>
          <w:b/>
          <w:i w:val="false"/>
          <w:color w:val="e8323c"/>
          <w:sz w:val="22"/>
        </w:rPr>
        <w:t>64×512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地图。RGB图像按比例放大，因此最短尺寸为500</w:t>
      </w:r>
      <w:r>
        <w:rPr>
          <w:rFonts w:ascii="宋体" w:hAnsi="Times New Roman" w:eastAsia="宋体"/>
          <w:b/>
          <w:i w:val="false"/>
          <w:color w:val="4d4d4d"/>
          <w:sz w:val="22"/>
        </w:rPr>
        <w:t>训练</w:t>
      </w:r>
    </w:p>
    <w:bookmarkEnd w:id="61"/>
    <w:bookmarkStart w:name="ubea10e02" w:id="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该网络以端到端的方式进行训练。对于每个小批量，使用1张图像并采样128个ROI，大致将25％的ROI保持为正。我们使用SGD对网络进行训练，其学习率为0.001，可进行10万次迭代。然后，将学习率降低至0.0001，然后再训练20K次迭代</w:t>
      </w:r>
    </w:p>
    <w:bookmarkEnd w:id="62"/>
    <w:bookmarkStart w:name="u99d3ded2" w:id="63"/>
    <w:bookmarkEnd w:id="63"/>
    <w:bookmarkStart w:name="Vq0p1" w:id="6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实验</w:t>
      </w:r>
    </w:p>
    <w:bookmarkEnd w:id="64"/>
    <w:bookmarkStart w:name="u2c4b4f5b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3D目标检测</w:t>
      </w:r>
    </w:p>
    <w:bookmarkEnd w:id="65"/>
    <w:bookmarkStart w:name="uab75f750" w:id="66"/>
    <w:p>
      <w:pPr>
        <w:spacing w:after="50" w:line="360" w:lineRule="auto" w:beforeLines="100"/>
        <w:ind w:left="0"/>
        <w:jc w:val="left"/>
      </w:pPr>
      <w:bookmarkStart w:name="u4a685fb6" w:id="67"/>
      <w:r>
        <w:rPr>
          <w:rFonts w:eastAsia="宋体" w:ascii="宋体"/>
        </w:rPr>
        <w:drawing>
          <wp:inline distT="0" distB="0" distL="0" distR="0">
            <wp:extent cx="5842000" cy="11333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0" cy="231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7"/>
    </w:p>
    <w:bookmarkEnd w:id="66"/>
    <w:bookmarkStart w:name="ud20bc8bb" w:id="68"/>
    <w:bookmarkEnd w:id="68"/>
    <w:bookmarkStart w:name="u74be636e" w:id="69"/>
    <w:bookmarkEnd w:id="6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rxiv.org/abs/1611.07759" TargetMode="External" Type="http://schemas.openxmlformats.org/officeDocument/2006/relationships/hyperlink"/><Relationship Id="rId5" Target="https://github.com/bostondiditeam/MV3D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