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image/png" PartName="/word/media/document_image_rId9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!-- Created by docx4j 6.1.2 (Apache licensed) using ORACLE_JRE JAXB in Oracle Java 1.8.0_131 on Linux --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RTMPose姿态估计论文</w:t>
      </w:r>
    </w:p>
    <w:p>
      <w:pPr>
        <w:spacing w:after="50" w:line="360" w:lineRule="auto" w:beforeLines="100"/>
        <w:ind w:left="0"/>
        <w:jc w:val="left"/>
      </w:pPr>
      <w:bookmarkStart w:name="u7b1b55bd" w:id="0"/>
      <w:r>
        <w:rPr>
          <w:rFonts w:ascii="宋体" w:hAnsi="Times New Roman" w:eastAsia="宋体"/>
          <w:b/>
          <w:i w:val="false"/>
          <w:color w:val="000000"/>
          <w:sz w:val="28"/>
        </w:rPr>
        <w:t>1.人体姿态估计常用方法</w:t>
      </w:r>
    </w:p>
    <w:bookmarkEnd w:id="0"/>
    <w:bookmarkStart w:name="u3e12ded1" w:id="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1）坐标点回归（APA车位角点检测，人脸68关键点检测）</w:t>
      </w:r>
    </w:p>
    <w:bookmarkEnd w:id="1"/>
    <w:bookmarkStart w:name="udb57218b" w:id="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2）heatmap 2D热图回归（基于bottom-up的OpenPose）</w:t>
      </w:r>
    </w:p>
    <w:bookmarkEnd w:id="2"/>
    <w:bookmarkStart w:name="uf297c89c" w:id="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3）2022的论文，SimCC Head，通过把2D降维到1D上，分别对W和H进行分类，利用分类任务代替回归方法</w:t>
      </w:r>
    </w:p>
    <w:bookmarkEnd w:id="3"/>
    <w:bookmarkStart w:name="u37612477" w:id="4"/>
    <w:bookmarkEnd w:id="4"/>
    <w:bookmarkStart w:name="u96c95f81" w:id="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8"/>
        </w:rPr>
        <w:t>2.大名鼎鼎的SimCC建模</w:t>
      </w:r>
    </w:p>
    <w:bookmarkEnd w:id="5"/>
    <w:bookmarkStart w:name="ue3172381" w:id="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很长一段时间内，都是heatmap 2D热图算法一直刷榜，精度优秀！</w:t>
      </w:r>
    </w:p>
    <w:bookmarkEnd w:id="6"/>
    <w:bookmarkStart w:name="uede10a05" w:id="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df2a3f"/>
          <w:sz w:val="22"/>
        </w:rPr>
        <w:t>SimCC的挑战：</w:t>
      </w:r>
    </w:p>
    <w:bookmarkEnd w:id="7"/>
    <w:bookmarkStart w:name="uece4524b" w:id="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121212"/>
          <w:sz w:val="28"/>
        </w:rPr>
        <w:t>对于姿态估计任务而言，2D高斯热图形式的特征表示真的是必要的吗？</w:t>
      </w:r>
    </w:p>
    <w:bookmarkEnd w:id="8"/>
    <w:bookmarkStart w:name="u751baab2" w:id="9"/>
    <w:p>
      <w:pPr>
        <w:spacing w:after="50" w:line="360" w:lineRule="auto" w:beforeLines="100"/>
        <w:ind w:left="0"/>
        <w:jc w:val="left"/>
      </w:pPr>
      <w:bookmarkStart w:name="uc3b4320c" w:id="10"/>
      <w:r>
        <w:rPr>
          <w:rFonts w:eastAsia="宋体" w:ascii="宋体"/>
        </w:rPr>
        <w:drawing>
          <wp:inline distT="0" distB="0" distL="0" distR="0">
            <wp:extent cx="5842000" cy="371523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31466" cy="396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bookmarkEnd w:id="9"/>
    <w:bookmarkStart w:name="u008149ae" w:id="11"/>
    <w:bookmarkEnd w:id="11"/>
    <w:bookmarkStart w:name="u1b53ec68" w:id="1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4"/>
        </w:rPr>
        <w:t>HeatMap热图过去争议最大的点</w:t>
      </w:r>
    </w:p>
    <w:bookmarkEnd w:id="12"/>
    <w:bookmarkStart w:name="u34161953" w:id="13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/>
          <w:i w:val="false"/>
          <w:color w:val="121212"/>
          <w:sz w:val="22"/>
        </w:rPr>
        <w:t>在低分辨率图片上掉点严重</w:t>
      </w:r>
      <w:r>
        <w:rPr>
          <w:rFonts w:ascii="宋体" w:hAnsi="Times New Roman" w:eastAsia="宋体"/>
          <w:b w:val="false"/>
          <w:i w:val="false"/>
          <w:color w:val="121212"/>
          <w:sz w:val="22"/>
        </w:rPr>
        <w:t>：对于HRNet-W48，当输入分辨率从256x256降到64x64，AP会从75.1掉到48.5</w:t>
      </w:r>
    </w:p>
    <w:bookmarkEnd w:id="13"/>
    <w:bookmarkStart w:name="u00bf275c" w:id="14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/>
          <w:i w:val="false"/>
          <w:color w:val="121212"/>
          <w:sz w:val="22"/>
        </w:rPr>
        <w:t>为了提升精度，需要多个上采样层来将特征图分辨率由低向高进行恢复</w:t>
      </w:r>
      <w:r>
        <w:rPr>
          <w:rFonts w:ascii="宋体" w:hAnsi="Times New Roman" w:eastAsia="宋体"/>
          <w:b w:val="false"/>
          <w:i w:val="false"/>
          <w:color w:val="121212"/>
          <w:sz w:val="22"/>
        </w:rPr>
        <w:t>：通常来说上采样会使用转置卷积来获得更好的性能，但相应的计算量也更大，骨干网络输出的特征图原本通道数就已经很高了，再上采样带来的开销是非常庞大的</w:t>
      </w:r>
    </w:p>
    <w:bookmarkEnd w:id="14"/>
    <w:bookmarkStart w:name="u78feb574" w:id="15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/>
          <w:i w:val="false"/>
          <w:color w:val="121212"/>
          <w:sz w:val="22"/>
        </w:rPr>
        <w:t>需要额外的后处理来减小尺度下降带来的量化误差</w:t>
      </w:r>
      <w:r>
        <w:rPr>
          <w:rFonts w:ascii="宋体" w:hAnsi="Times New Roman" w:eastAsia="宋体"/>
          <w:b w:val="false"/>
          <w:i w:val="false"/>
          <w:color w:val="121212"/>
          <w:sz w:val="22"/>
        </w:rPr>
        <w:t>：如DARK修正高斯分布，用argmax获取平面上的极值点坐标等</w:t>
      </w:r>
    </w:p>
    <w:bookmarkEnd w:id="15"/>
    <w:bookmarkStart w:name="ub7b96c11" w:id="1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df2a3f"/>
          <w:sz w:val="22"/>
        </w:rPr>
        <w:t>综上所述，HeatMap并不适用于在低算力平台上落地！</w:t>
      </w:r>
    </w:p>
    <w:bookmarkEnd w:id="16"/>
    <w:bookmarkStart w:name="u1627bf6d" w:id="17"/>
    <w:bookmarkEnd w:id="17"/>
    <w:bookmarkStart w:name="u6b35a4b2" w:id="1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4"/>
        </w:rPr>
        <w:t>3.SimCC建模方法：</w:t>
      </w:r>
    </w:p>
    <w:bookmarkEnd w:id="18"/>
    <w:bookmarkStart w:name="u129ffcf5" w:id="1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1)降维策略，原本我们都是在2D上推理高斯热图，能否在1D完成输出？</w:t>
      </w:r>
    </w:p>
    <w:bookmarkEnd w:id="19"/>
    <w:bookmarkStart w:name="u9dacad55" w:id="2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2）backbone输出（N,K,W,H），其中N表示N个框，K表示关键点类别数，W,H表示feature的宽高</w:t>
      </w:r>
    </w:p>
    <w:bookmarkEnd w:id="20"/>
    <w:bookmarkStart w:name="ubd700124" w:id="2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3）将（N,K,W,H）flatten成（N,K,WxH），再通过简单的Linear全连接layer，变成（N,K,W*k）和（N,K,H*k）2个输出。</w:t>
      </w:r>
    </w:p>
    <w:bookmarkEnd w:id="21"/>
    <w:bookmarkStart w:name="u49bda92c" w:id="2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4）2个输出分别表示在宽度方向做宽度为W*k个类别的分类，那么所处的位置如果概率较高，那么关键点就在该位置，同理H方向做一个类似的事情，这样子结合W，H两个1维方向的位置分类，就得到了关键点最终的位置。</w:t>
      </w:r>
    </w:p>
    <w:bookmarkEnd w:id="22"/>
    <w:bookmarkStart w:name="u95bc7e92" w:id="2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5）为什么有k，因为W,H可能细腻度还不够，所以可以把其扩展为W和H的k倍数，在论文里叫做bins，即亚像素的意思，这样子可以得到更高精度的关键点位置。</w:t>
      </w:r>
    </w:p>
    <w:bookmarkEnd w:id="23"/>
    <w:bookmarkStart w:name="ua11ca146" w:id="2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6）利用这个方法，我们非常简单有效的把一个回归任务或者heatmap任务转换成了2个一维的分类任务。</w:t>
      </w:r>
    </w:p>
    <w:bookmarkEnd w:id="24"/>
    <w:bookmarkStart w:name="u85b32411" w:id="25"/>
    <w:p>
      <w:pPr>
        <w:spacing w:after="50" w:line="360" w:lineRule="auto" w:beforeLines="100"/>
        <w:ind w:left="0"/>
        <w:jc w:val="left"/>
      </w:pPr>
      <w:bookmarkStart w:name="u281cb66b" w:id="26"/>
      <w:r>
        <w:rPr>
          <w:rFonts w:eastAsia="宋体" w:ascii="宋体"/>
        </w:rPr>
        <w:drawing>
          <wp:inline distT="0" distB="0" distL="0" distR="0">
            <wp:extent cx="5842000" cy="283309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00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bookmarkEnd w:id="25"/>
    <w:bookmarkStart w:name="ufce34227" w:id="2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7）上图结合下图一起来观察整个mmpose的关键点估计流程。</w:t>
      </w:r>
    </w:p>
    <w:bookmarkEnd w:id="27"/>
    <w:bookmarkStart w:name="uea2b1c2b" w:id="28"/>
    <w:p>
      <w:pPr>
        <w:spacing w:after="50" w:line="360" w:lineRule="auto" w:beforeLines="100"/>
        <w:ind w:left="0"/>
        <w:jc w:val="left"/>
      </w:pPr>
      <w:bookmarkStart w:name="u68d03785" w:id="29"/>
      <w:r>
        <w:rPr>
          <w:rFonts w:eastAsia="宋体" w:ascii="宋体"/>
        </w:rPr>
        <w:drawing>
          <wp:inline distT="0" distB="0" distL="0" distR="0">
            <wp:extent cx="5842000" cy="212630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253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"/>
    </w:p>
    <w:bookmarkEnd w:id="28"/>
    <w:bookmarkStart w:name="ufd95e0d0" w:id="30"/>
    <w:bookmarkEnd w:id="30"/>
    <w:bookmarkStart w:name="uee38e7cd" w:id="3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8"/>
        </w:rPr>
        <w:t>3.SimCC的Encode和Decode</w:t>
      </w:r>
    </w:p>
    <w:bookmarkEnd w:id="31"/>
    <w:bookmarkStart w:name="u440272d5" w:id="3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1)模型的训练和GT的制作需要Encode</w:t>
      </w:r>
    </w:p>
    <w:bookmarkEnd w:id="32"/>
    <w:bookmarkStart w:name="u2028a927" w:id="3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2)模型的推理需要Decode</w:t>
      </w:r>
    </w:p>
    <w:bookmarkEnd w:id="33"/>
    <w:bookmarkStart w:name="ucc4c0333" w:id="34"/>
    <w:p>
      <w:pPr>
        <w:spacing w:after="50" w:line="360" w:lineRule="auto" w:beforeLines="100"/>
        <w:ind w:left="0"/>
        <w:jc w:val="left"/>
      </w:pPr>
      <w:bookmarkStart w:name="uccd74d5c" w:id="35"/>
      <w:r>
        <w:rPr>
          <w:rFonts w:eastAsia="宋体" w:ascii="宋体"/>
        </w:rPr>
        <w:drawing>
          <wp:inline distT="0" distB="0" distL="0" distR="0">
            <wp:extent cx="5841999" cy="206784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0666" cy="218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5"/>
    </w:p>
    <w:bookmarkEnd w:id="34"/>
    <w:bookmarkStart w:name="Jnfsj" w:id="36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#Encode kernel code</w:t>
        <w:br/>
        <w:t>#将GT值进行编码后，可以和模型推理值进行损失函数计算</w:t>
        <w:br/>
        <w:t>W = W*2, H=H*2</w:t>
        <w:br/>
        <w:t>keypoints = [N,K,2]</w:t>
        <w:br/>
        <w:t>keypoints_split = keypoints * 2</w:t>
        <w:br/>
        <w:t>x = np.arange(0, W, 1, dtype=np.float32)</w:t>
        <w:br/>
        <w:t>y = np.arange(0, H, 1, dtype=np.float32)</w:t>
        <w:br/>
        <w:t>target_x = np.zeros((N, K, W), dtype=np.float32)</w:t>
        <w:br/>
        <w:t>target_y = np.zeros((N, K, H), dtype=np.float32)</w:t>
        <w:br/>
        <w:t/>
        <w:br/>
        <w:t>for n, k in product(range(N), range(K)):</w:t>
        <w:br/>
        <w:t xml:space="preserve">    mu = keypoints_split[n, k]</w:t>
        <w:br/>
        <w:t xml:space="preserve">    mu_x, mu_y = mu</w:t>
        <w:br/>
        <w:t xml:space="preserve">    target_x[n, k] = np.exp(-((x - mu_x)**2) / (2 * self.sigma[0]**2))</w:t>
        <w:br/>
        <w:t xml:space="preserve">    target_y[n, k] = np.exp(-((y - mu_y)**2) / (2 * self.sigma[1]**2))</w:t>
        <w:br/>
        <w:t/>
        <w:br/>
        <w:t/>
        <w:br/>
        <w:t>#Decode kernel code, only used for inference</w:t>
        <w:br/>
        <w:t>#模型推理时，对输出做进一步DECODE，得到关键点的坐标</w:t>
        <w:br/>
        <w:t>N=1</w:t>
        <w:br/>
        <w:t>simcc_x = [N,K,384] = [K,384]</w:t>
        <w:br/>
        <w:t>simcc_y = [N,K,512] = [K,512]</w:t>
        <w:br/>
        <w:t>x_locs = np.argmax(simcc_x, axis=1) #[K]</w:t>
        <w:br/>
        <w:t>y_locs = np.argmax(simcc_y, axis=1) #[K]</w:t>
        <w:br/>
        <w:t>locs = np.stack((x_locs, y_locs), axis=-1).astype(np.float32) #[K, 2]</w:t>
        <w:br/>
        <w:t>max_val_x = np.amax(simcc_x, axis=1) #[K]</w:t>
        <w:br/>
        <w:t>max_val_y = np.amax(simcc_y, axis=1) #[K]</w:t>
        <w:br/>
        <w:t/>
        <w:br/>
        <w:t>#取最小概率值作为输出</w:t>
        <w:br/>
        <w:t>mask = max_val_x &gt; max_val_y</w:t>
        <w:br/>
        <w:t>max_val_x[mask] = max_val_y[mask]</w:t>
        <w:br/>
        <w:t>vals = max_val_x</w:t>
        <w:br/>
        <w:t/>
        <w:br/>
        <w:t>#每个像素有2个bins，从亚像素还原为像素级别</w:t>
        <w:br/>
        <w:t>locs /= 2.0</w:t>
        <w:br/>
        <w:t/>
        <w:br/>
      </w:r>
    </w:p>
    <w:bookmarkEnd w:id="36"/>
    <w:bookmarkStart w:name="u597fdf9b" w:id="37"/>
    <w:bookmarkEnd w:id="37"/>
    <w:bookmarkStart w:name="u827fc45e" w:id="38"/>
    <w:bookmarkEnd w:id="38"/>
    <w:bookmarkStart w:name="u4d4fb87f" w:id="3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33"/>
        </w:rPr>
        <w:t>4.SimCC Head损失函数</w:t>
      </w:r>
    </w:p>
    <w:bookmarkEnd w:id="39"/>
    <w:bookmarkStart w:name="uab29ccc5" w:id="4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KL离散度损失</w:t>
      </w:r>
    </w:p>
    <w:bookmarkEnd w:id="40"/>
    <w:bookmarkStart w:name="u108bf650" w:id="41"/>
    <w:bookmarkEnd w:id="41"/>
    <w:bookmarkStart w:name="uedd3df57" w:id="4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33"/>
        </w:rPr>
        <w:t>5.RTmpose的注意力机制</w:t>
      </w:r>
    </w:p>
    <w:bookmarkEnd w:id="42"/>
    <w:bookmarkStart w:name="u43276785" w:id="4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df2a3f"/>
          <w:sz w:val="28"/>
        </w:rPr>
        <w:t>如何表示一个手势上不同关键点之间的关系？</w:t>
      </w:r>
    </w:p>
    <w:bookmarkEnd w:id="43"/>
    <w:bookmarkStart w:name="u1feae578" w:id="4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df2a3f"/>
          <w:sz w:val="28"/>
        </w:rPr>
        <w:t>GAU，门控注意力机制模块</w:t>
      </w:r>
    </w:p>
    <w:bookmarkEnd w:id="44"/>
    <w:bookmarkStart w:name="ud598a3d9" w:id="4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df2a3f"/>
          <w:sz w:val="28"/>
        </w:rPr>
        <w:t>它也是从基础的Transformer算子变换而来。</w:t>
      </w:r>
    </w:p>
    <w:bookmarkEnd w:id="45"/>
    <w:bookmarkStart w:name="u7d0c42fd" w:id="46"/>
    <w:p>
      <w:pPr>
        <w:spacing w:after="50" w:line="360" w:lineRule="auto" w:beforeLines="100"/>
        <w:ind w:left="0"/>
        <w:jc w:val="left"/>
      </w:pPr>
      <w:bookmarkStart w:name="u3561d018" w:id="47"/>
      <w:r>
        <w:rPr>
          <w:rFonts w:eastAsia="宋体" w:ascii="宋体"/>
        </w:rPr>
        <w:drawing>
          <wp:inline distT="0" distB="0" distL="0" distR="0">
            <wp:extent cx="5334000" cy="384020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7"/>
    </w:p>
    <w:bookmarkEnd w:id="46"/>
    <w:bookmarkStart w:name="u6487062b" w:id="48"/>
    <w:bookmarkEnd w:id="48"/>
    <w:bookmarkStart w:name="u660b8f38" w:id="4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8"/>
        </w:rPr>
        <w:t>GAU门控注意力代码流程图</w:t>
      </w:r>
    </w:p>
    <w:bookmarkEnd w:id="49"/>
    <w:bookmarkStart w:name="u519b54bf" w:id="50"/>
    <w:p>
      <w:pPr>
        <w:spacing w:after="50" w:line="360" w:lineRule="auto" w:beforeLines="100"/>
        <w:ind w:left="0"/>
        <w:jc w:val="left"/>
      </w:pPr>
      <w:bookmarkStart w:name="ub6d8b0d8" w:id="51"/>
      <w:r>
        <w:rPr>
          <w:rFonts w:eastAsia="宋体" w:ascii="宋体"/>
        </w:rPr>
        <w:drawing>
          <wp:inline distT="0" distB="0" distL="0" distR="0">
            <wp:extent cx="5842000" cy="438114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956800" cy="74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1"/>
    </w:p>
    <w:bookmarkEnd w:id="50"/>
    <w:bookmarkStart w:name="ub3f43630" w:id="52"/>
    <w:bookmarkEnd w:id="52"/>
    <w:bookmarkStart w:name="u2840813f" w:id="53"/>
    <w:bookmarkEnd w:id="53"/>
    <w:bookmarkStart w:name="u746b4e33" w:id="54"/>
    <w:bookmarkEnd w:id="54"/>
    <w:bookmarkStart w:name="u7ff9f0c2" w:id="55"/>
    <w:bookmarkEnd w:id="55"/>
    <w:bookmarkStart w:name="u58148a63" w:id="56"/>
    <w:bookmarkEnd w:id="56"/>
    <w:bookmarkStart w:name="u9bf6785c" w:id="57"/>
    <w:bookmarkEnd w:id="57"/>
    <w:sectPr>
      <w:pgSz w:w="11907" w:h="16839" w:code="9"/>
      <w:pgMar w:top="1440" w:right="1440" w:bottom="1440" w:left="1440"/>
    </w:sectPr>
  </w:body>
</w:document>
</file>

<file path=word/numbering.xml><?xml version="1.0" encoding="utf-8"?>
<w:numbering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abstractNum w:abstractNumId="1">
    <w:multiLevelType w:val="multilevel"/>
    <w:lvl w:ilvl="0">
      <w:start w:val="1"/>
      <w:numFmt w:val="decimal"/>
      <w:lvlText w:val="%1."/>
      <w:lvlJc w:val="left"/>
      <w:pPr>
        <w:ind w:left="960" w:hanging="36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1CD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paragraph" w:styleId="ne-codeblock"/>
</w:style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2" Target="settings.xml" Type="http://schemas.openxmlformats.org/officeDocument/2006/relationships/settings"/><Relationship Id="rId3" Target="numbering.xml" Type="http://schemas.openxmlformats.org/officeDocument/2006/relationships/numbering"/><Relationship Id="rId4" Target="media/document_image_rId4.png" Type="http://schemas.openxmlformats.org/officeDocument/2006/relationships/image"/><Relationship Id="rId5" Target="media/document_image_rId5.png" Type="http://schemas.openxmlformats.org/officeDocument/2006/relationships/image"/><Relationship Id="rId6" Target="media/document_image_rId6.png" Type="http://schemas.openxmlformats.org/officeDocument/2006/relationships/image"/><Relationship Id="rId7" Target="media/document_image_rId7.png" Type="http://schemas.openxmlformats.org/officeDocument/2006/relationships/image"/><Relationship Id="rId8" Target="media/document_image_rId8.png" Type="http://schemas.openxmlformats.org/officeDocument/2006/relationships/image"/><Relationship Id="rId9" Target="media/document_image_rId9.png" Type="http://schemas.openxmlformats.org/officeDocument/2006/relationships/image"/></Relationships>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