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RepVGG</w:t>
      </w:r>
    </w:p>
    <w:p>
      <w:pPr>
        <w:spacing w:after="50" w:line="360" w:lineRule="auto" w:beforeLines="100"/>
        <w:ind w:left="0"/>
        <w:jc w:val="left"/>
      </w:pPr>
      <w:bookmarkStart w:name="u4018a55b" w:id="0"/>
      <w:r>
        <w:rPr>
          <w:rFonts w:ascii="宋体" w:hAnsi="Times New Roman" w:eastAsia="宋体"/>
          <w:b/>
          <w:i/>
          <w:color w:val="000000"/>
          <w:sz w:val="22"/>
        </w:rPr>
        <w:t>author: qiuchao</w:t>
      </w:r>
    </w:p>
    <w:bookmarkEnd w:id="0"/>
    <w:bookmarkStart w:name="u6HLS" w:id="1"/>
    <w:p>
      <w:pPr>
        <w:pStyle w:val="Heading1"/>
        <w:spacing w:after="50" w:line="360" w:lineRule="auto" w:beforeLines="100"/>
        <w:ind w:left="0"/>
        <w:jc w:val="center"/>
      </w:pPr>
      <w:bookmarkStart w:name="u42e9af08" w:id="2"/>
      <w:r>
        <w:rPr>
          <w:rFonts w:eastAsia="宋体" w:ascii="宋体"/>
        </w:rPr>
        <w:drawing>
          <wp:inline distT="0" distB="0" distL="0" distR="0">
            <wp:extent cx="4572000" cy="379621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bookmarkEnd w:id="1"/>
    <w:bookmarkStart w:name="LSHMk" w:id="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一，引入&amp;介绍</w:t>
      </w:r>
    </w:p>
    <w:bookmarkEnd w:id="3"/>
    <w:bookmarkStart w:name="u1be5a5e3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目前大家想要得到相对SOTA的结果或者较低的计算量（FLOPs），都会设计比较复杂的模型结构来达到目标。但是这些复杂的结构很难去实际实现和修改，会增大内存访问的开销，并且对于不同设备的支持也不太友好。单独参考低FLOPs并不能说明模型推理的速度就更快。因此设计了一种更简洁的网络结构---RepVGG。</w:t>
      </w:r>
    </w:p>
    <w:bookmarkEnd w:id="4"/>
    <w:bookmarkStart w:name="u928e66ae" w:id="5"/>
    <w:bookmarkEnd w:id="5"/>
    <w:bookmarkStart w:name="xDFmI" w:id="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二，网络构建</w:t>
      </w:r>
    </w:p>
    <w:bookmarkEnd w:id="6"/>
    <w:bookmarkStart w:name="u5880da1b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这里所说的“VGG式”指的是：</w:t>
      </w:r>
    </w:p>
    <w:bookmarkEnd w:id="7"/>
    <w:bookmarkStart w:name="ufa40f813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1. 没有任何分支结构。即通常所说的plain或feed-forward架构。</w:t>
      </w:r>
    </w:p>
    <w:bookmarkEnd w:id="8"/>
    <w:bookmarkStart w:name="ucb5529d2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2. 仅使用3x3卷积。</w:t>
      </w:r>
    </w:p>
    <w:bookmarkEnd w:id="9"/>
    <w:bookmarkStart w:name="u4ffc9b77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3. 仅使用ReLU作为激活函数。</w:t>
      </w:r>
    </w:p>
    <w:bookmarkEnd w:id="10"/>
    <w:bookmarkStart w:name="u9e25bfaf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下面用一句话介绍RepVGG模型的基本架构：将20多层3x3卷积堆起来，分成5个stage，每个stage的第一层是stride=2的降采样，每个卷积层用ReLU作为激活函数。</w:t>
      </w:r>
    </w:p>
    <w:bookmarkEnd w:id="11"/>
    <w:bookmarkStart w:name="ud18f4ec9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再用一句话介绍RepVGG模型的详细结构：RepVGG-A的5个stage分别有[1, 2, 4, 14, 1]层，RepVGG-B的5个stage分别有[1, 4, 6, 16, 1]层，宽度是[64, 128, 256, 512]的若干倍。这里的倍数是随意指定的诸如1.5,2.5这样的“工整”的数字，没有经过细调。</w:t>
      </w:r>
    </w:p>
    <w:bookmarkEnd w:id="12"/>
    <w:bookmarkStart w:name="u67ba16a9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再用一句话介绍训练设定：ImageNet上120 epochs，不用trick，甚至直接用PyTorch官方示例的训练代码就能训出来！</w:t>
      </w:r>
    </w:p>
    <w:bookmarkEnd w:id="13"/>
    <w:bookmarkStart w:name="oj6t4" w:id="1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三，VGG形式优点</w:t>
      </w:r>
    </w:p>
    <w:bookmarkEnd w:id="14"/>
    <w:bookmarkStart w:name="u2ce9db7f" w:id="1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3x3卷积非常快。在GPU上，3x3卷积的计算密度（理论运算量除以所用时间）可达1x1和5x5卷积的四倍。 </w:t>
      </w:r>
    </w:p>
    <w:bookmarkEnd w:id="15"/>
    <w:bookmarkStart w:name="u719d0208" w:id="1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单路架构非常快，因为并行度高。同样的计算量，“大而整”的运算效率远超“小而碎”的运算。 </w:t>
      </w:r>
    </w:p>
    <w:bookmarkEnd w:id="16"/>
    <w:bookmarkStart w:name="u862b1fb9" w:id="1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单路架构省内存。例如，ResNet的shortcut虽然不占计算量，却增加了一倍的显存占用。 </w:t>
      </w:r>
    </w:p>
    <w:bookmarkEnd w:id="17"/>
    <w:bookmarkStart w:name="u84640d8e" w:id="1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单路架构灵活性更好，容易改变各层的宽度（如剪枝）。 </w:t>
      </w:r>
    </w:p>
    <w:bookmarkEnd w:id="18"/>
    <w:bookmarkStart w:name="uf03d0e09" w:id="19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RepVGG主体部分只有一种算子：3x3卷积接ReLU。在设计专用芯片时，给定芯片尺寸或造价，我们可以集成海量的3x3卷积-ReLU计算单元来达到很高的效率。别忘了，单路架构省内存的特性也可以帮我们少做存储单元。 </w:t>
      </w:r>
    </w:p>
    <w:bookmarkEnd w:id="19"/>
    <w:bookmarkStart w:name="DAcgi" w:id="20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四，训练和部署解耦</w:t>
      </w:r>
    </w:p>
    <w:bookmarkEnd w:id="20"/>
    <w:bookmarkStart w:name="ueea1cb37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相比于各种多分支架构（如ResNet，Inception，DenseNet，各种NAS架构），近年来VGG式模型鲜有关注，主要自然是因为性能差。例如，有研究认为，ResNet性能好的一种解释是ResNet的分支结构（shortcut）产生了一个大量子模型的隐式ensemble（因为每遇到一次分支，总的路径就变成两倍），单路架构显然不具备这种特点。</w:t>
      </w:r>
    </w:p>
    <w:bookmarkEnd w:id="21"/>
    <w:bookmarkStart w:name="u3378d31d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既然多分支架构是对训练有益的，而想要部署的模型是单路架构，因此提出</w:t>
      </w:r>
      <w:r>
        <w:rPr>
          <w:rFonts w:ascii="宋体" w:hAnsi="Times New Roman" w:eastAsia="宋体"/>
          <w:b/>
          <w:i w:val="false"/>
          <w:color w:val="f5222d"/>
          <w:sz w:val="22"/>
        </w:rPr>
        <w:t>解耦训练时和推理时架构</w:t>
      </w:r>
      <w:r>
        <w:rPr>
          <w:rFonts w:ascii="宋体" w:hAnsi="Times New Roman" w:eastAsia="宋体"/>
          <w:b w:val="false"/>
          <w:i w:val="false"/>
          <w:color w:val="121212"/>
          <w:sz w:val="22"/>
        </w:rPr>
        <w:t>。通常使用模型的方式是：</w:t>
      </w:r>
    </w:p>
    <w:bookmarkEnd w:id="22"/>
    <w:bookmarkStart w:name="u64f2996b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1. 训练一个模型</w:t>
      </w:r>
    </w:p>
    <w:bookmarkEnd w:id="23"/>
    <w:bookmarkStart w:name="u9953149b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2. 部署这个模型</w:t>
      </w:r>
    </w:p>
    <w:bookmarkEnd w:id="24"/>
    <w:bookmarkStart w:name="ua549f57d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但在这里，有一个新的做法：</w:t>
      </w:r>
    </w:p>
    <w:bookmarkEnd w:id="25"/>
    <w:bookmarkStart w:name="u3a352bb6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1. 训练一个多分支模型</w:t>
      </w:r>
    </w:p>
    <w:bookmarkEnd w:id="26"/>
    <w:bookmarkStart w:name="ubc74a7b0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2. 将多分支模型</w:t>
      </w:r>
      <w:r>
        <w:rPr>
          <w:rFonts w:ascii="宋体" w:hAnsi="Times New Roman" w:eastAsia="宋体"/>
          <w:b/>
          <w:i w:val="false"/>
          <w:color w:val="f5222d"/>
          <w:sz w:val="22"/>
        </w:rPr>
        <w:t>等价转换</w:t>
      </w:r>
      <w:r>
        <w:rPr>
          <w:rFonts w:ascii="宋体" w:hAnsi="Times New Roman" w:eastAsia="宋体"/>
          <w:b w:val="false"/>
          <w:i w:val="false"/>
          <w:color w:val="121212"/>
          <w:sz w:val="22"/>
        </w:rPr>
        <w:t>为单路模型</w:t>
      </w:r>
    </w:p>
    <w:bookmarkEnd w:id="27"/>
    <w:bookmarkStart w:name="uc19d77c3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3. 部署单路模型</w:t>
      </w:r>
    </w:p>
    <w:bookmarkEnd w:id="28"/>
    <w:bookmarkStart w:name="u2863e249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这样就可以同时利用</w:t>
      </w:r>
      <w:r>
        <w:rPr>
          <w:rFonts w:ascii="宋体" w:hAnsi="Times New Roman" w:eastAsia="宋体"/>
          <w:b/>
          <w:i w:val="false"/>
          <w:color w:val="f5222d"/>
          <w:sz w:val="22"/>
        </w:rPr>
        <w:t>多分支模型训练时的优势</w:t>
      </w:r>
      <w:r>
        <w:rPr>
          <w:rFonts w:ascii="宋体" w:hAnsi="Times New Roman" w:eastAsia="宋体"/>
          <w:b w:val="false"/>
          <w:i w:val="false"/>
          <w:color w:val="121212"/>
          <w:sz w:val="22"/>
        </w:rPr>
        <w:t>（</w:t>
      </w:r>
      <w:r>
        <w:rPr>
          <w:rFonts w:ascii="宋体" w:hAnsi="Times New Roman" w:eastAsia="宋体"/>
          <w:b/>
          <w:i w:val="false"/>
          <w:color w:val="1890ff"/>
          <w:sz w:val="22"/>
        </w:rPr>
        <w:t>性能高</w:t>
      </w:r>
      <w:r>
        <w:rPr>
          <w:rFonts w:ascii="宋体" w:hAnsi="Times New Roman" w:eastAsia="宋体"/>
          <w:b w:val="false"/>
          <w:i w:val="false"/>
          <w:color w:val="121212"/>
          <w:sz w:val="22"/>
        </w:rPr>
        <w:t>）和</w:t>
      </w:r>
      <w:r>
        <w:rPr>
          <w:rFonts w:ascii="宋体" w:hAnsi="Times New Roman" w:eastAsia="宋体"/>
          <w:b/>
          <w:i w:val="false"/>
          <w:color w:val="f5222d"/>
          <w:sz w:val="22"/>
        </w:rPr>
        <w:t>单路模型推理时的好处</w:t>
      </w:r>
      <w:r>
        <w:rPr>
          <w:rFonts w:ascii="宋体" w:hAnsi="Times New Roman" w:eastAsia="宋体"/>
          <w:b w:val="false"/>
          <w:i w:val="false"/>
          <w:color w:val="121212"/>
          <w:sz w:val="22"/>
        </w:rPr>
        <w:t>（</w:t>
      </w:r>
      <w:r>
        <w:rPr>
          <w:rFonts w:ascii="宋体" w:hAnsi="Times New Roman" w:eastAsia="宋体"/>
          <w:b/>
          <w:i w:val="false"/>
          <w:color w:val="1890ff"/>
          <w:sz w:val="22"/>
        </w:rPr>
        <w:t>速度快、省内存</w:t>
      </w:r>
      <w:r>
        <w:rPr>
          <w:rFonts w:ascii="宋体" w:hAnsi="Times New Roman" w:eastAsia="宋体"/>
          <w:b w:val="false"/>
          <w:i w:val="false"/>
          <w:color w:val="121212"/>
          <w:sz w:val="22"/>
        </w:rPr>
        <w:t>）。这里的关键在于这种多分支模型的构造形式和转换的方式。</w:t>
      </w:r>
    </w:p>
    <w:bookmarkEnd w:id="29"/>
    <w:bookmarkStart w:name="ub4b74a5c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具体实现方式是在训练时，为每一个3x3卷积层添加平行的1x1卷积分支和恒等映射分支，构成一个RepVGG Block。这种设计是借鉴ResNet的做法，区别在于ResNet是每隔两层或三层加一分支，RepVGG是每层都加。</w:t>
      </w:r>
    </w:p>
    <w:bookmarkEnd w:id="30"/>
    <w:bookmarkStart w:name="uafece208" w:id="31"/>
    <w:p>
      <w:pPr>
        <w:spacing w:after="50" w:line="360" w:lineRule="auto" w:beforeLines="100"/>
        <w:ind w:left="0"/>
        <w:jc w:val="center"/>
      </w:pPr>
      <w:bookmarkStart w:name="udc2945fd" w:id="32"/>
      <w:r>
        <w:rPr>
          <w:rFonts w:eastAsia="宋体" w:ascii="宋体"/>
        </w:rPr>
        <w:drawing>
          <wp:inline distT="0" distB="0" distL="0" distR="0">
            <wp:extent cx="4368800" cy="364673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6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bookmarkEnd w:id="31"/>
    <w:bookmarkStart w:name="ud078db4f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训练完成后，对模型做等价转换，得到部署模型。根据卷积的线性（具体来说是可加性），设三个3x3卷积核分别是W1，W2，W3，有 conv(x, W1) + conv(x, W2) + conv(x, W3) = conv(x, W1+W2+W3)）</w:t>
      </w:r>
    </w:p>
    <w:bookmarkEnd w:id="33"/>
    <w:bookmarkStart w:name="u975b4ab7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因为RepVGG Block中的1x1卷积是相当于一个特殊（卷积核中有很多0）的3x3卷积，而恒等映射是一个特殊（以单位矩阵为卷积核）的1x1卷积，因此也是一个特殊的3x3卷积！只需要：</w:t>
      </w:r>
    </w:p>
    <w:bookmarkEnd w:id="34"/>
    <w:bookmarkStart w:name="u6ca0de1a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1. 把identity转换为1x1卷积，只要构造出一个以单位矩阵为卷积核的1x1卷积即可；</w:t>
      </w:r>
    </w:p>
    <w:bookmarkEnd w:id="35"/>
    <w:bookmarkStart w:name="u29406da6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2. 把1x1卷积等价转换为3x3卷积，只要用0填充即可。</w:t>
      </w:r>
    </w:p>
    <w:bookmarkEnd w:id="36"/>
    <w:bookmarkStart w:name="u8ec67f54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下图描述了这一转换过程。在这一示例中，输入和输出通道都是2，故3x3卷积的参数是4个3x3矩阵，1x1卷积的参数是一个2x2矩阵。注意三个分支都有BN（batch normalization）层，其参数包括累积得到的均值及标准差和学得的缩放因子及bias。这并不会妨碍转换的可行性，因为推理时的卷积层和其后的BN层可以等价转换为一个带bias的卷积层（也就是通常所谓的“吸BN”）。</w:t>
      </w:r>
    </w:p>
    <w:bookmarkEnd w:id="37"/>
    <w:bookmarkStart w:name="u7421aa66" w:id="38"/>
    <w:p>
      <w:pPr>
        <w:spacing w:after="50" w:line="360" w:lineRule="auto" w:beforeLines="100"/>
        <w:ind w:left="0"/>
        <w:jc w:val="center"/>
      </w:pPr>
      <w:bookmarkStart w:name="u89b4fbeb" w:id="39"/>
      <w:r>
        <w:rPr>
          <w:rFonts w:eastAsia="宋体" w:ascii="宋体"/>
        </w:rPr>
        <w:drawing>
          <wp:inline distT="0" distB="0" distL="0" distR="0">
            <wp:extent cx="4572000" cy="10962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bookmarkEnd w:id="38"/>
    <w:bookmarkStart w:name="ua0db109c" w:id="40"/>
    <w:p>
      <w:pPr>
        <w:spacing w:after="50" w:line="360" w:lineRule="auto" w:beforeLines="100"/>
        <w:ind w:left="0"/>
        <w:jc w:val="center"/>
      </w:pPr>
      <w:bookmarkStart w:name="u5e192fd9" w:id="41"/>
      <w:r>
        <w:rPr>
          <w:rFonts w:eastAsia="宋体" w:ascii="宋体"/>
        </w:rPr>
        <w:drawing>
          <wp:inline distT="0" distB="0" distL="0" distR="0">
            <wp:extent cx="4893733" cy="45902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733" cy="4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</w:p>
    <w:bookmarkEnd w:id="40"/>
    <w:bookmarkStart w:name="u7c5e3fac" w:id="42"/>
    <w:p>
      <w:pPr>
        <w:spacing w:after="50" w:line="360" w:lineRule="auto" w:beforeLines="100"/>
        <w:ind w:left="0"/>
        <w:jc w:val="center"/>
      </w:pPr>
      <w:bookmarkStart w:name="ue8b841fc" w:id="43"/>
      <w:r>
        <w:rPr>
          <w:rFonts w:eastAsia="宋体" w:ascii="宋体"/>
        </w:rPr>
        <w:drawing>
          <wp:inline distT="0" distB="0" distL="0" distR="0">
            <wp:extent cx="4470400" cy="49064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9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bookmarkEnd w:id="42"/>
    <w:bookmarkStart w:name="ueaed8b25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对三分支分别“吸BN”之后（注意恒等映射可以看成一个“卷积层”，其参数是一个2x2单位矩阵！），将得到的1x1卷积核用0给pad成3x3。最后，三分支得到的卷积核和bias分别相加即可。这样，每个RepVGG Block转换前后的输出完全相同，因而训练好的模型可以等价转换为只有3x3卷积的单路模型。</w:t>
      </w:r>
    </w:p>
    <w:bookmarkEnd w:id="44"/>
    <w:bookmarkStart w:name="u038c185c" w:id="45"/>
    <w:p>
      <w:pPr>
        <w:spacing w:after="50" w:line="360" w:lineRule="auto" w:beforeLines="100"/>
        <w:ind w:left="0"/>
        <w:jc w:val="center"/>
      </w:pPr>
      <w:bookmarkStart w:name="u694ed015" w:id="46"/>
      <w:r>
        <w:rPr>
          <w:rFonts w:eastAsia="宋体" w:ascii="宋体"/>
        </w:rPr>
        <w:drawing>
          <wp:inline distT="0" distB="0" distL="0" distR="0">
            <wp:extent cx="5198533" cy="602952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533" cy="602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bookmarkEnd w:id="45"/>
    <w:bookmarkStart w:name="u8719dfee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f5222d"/>
          <w:sz w:val="22"/>
        </w:rPr>
        <w:t>结构重参数化”的实质：训练时的结构对应一组参数，推理时我们想要的结构对应另一组参数；只要能把前者的参数等价转换为后者，就可以将前者的结构等价转换为后者。</w:t>
      </w:r>
    </w:p>
    <w:bookmarkEnd w:id="47"/>
    <w:bookmarkStart w:name="denVV" w:id="4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五，实验结果</w:t>
      </w:r>
    </w:p>
    <w:bookmarkEnd w:id="48"/>
    <w:bookmarkStart w:name="bTVi4" w:id="4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分类问题：</w:t>
      </w:r>
    </w:p>
    <w:bookmarkEnd w:id="49"/>
    <w:bookmarkStart w:name="ue445f300" w:id="50"/>
    <w:p>
      <w:pPr>
        <w:spacing w:after="50" w:line="360" w:lineRule="auto" w:beforeLines="100"/>
        <w:ind w:left="0"/>
        <w:jc w:val="left"/>
      </w:pPr>
      <w:bookmarkStart w:name="u43dab05c" w:id="51"/>
      <w:r>
        <w:rPr>
          <w:rFonts w:eastAsia="宋体" w:ascii="宋体"/>
        </w:rPr>
        <w:drawing>
          <wp:inline distT="0" distB="0" distL="0" distR="0">
            <wp:extent cx="4961467" cy="53654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467" cy="536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bookmarkEnd w:id="50"/>
    <w:bookmarkStart w:name="K0Tqf" w:id="5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8155端侧测试：</w:t>
      </w:r>
    </w:p>
    <w:bookmarkEnd w:id="52"/>
    <w:bookmarkStart w:name="uf87a5115" w:id="53"/>
    <w:p>
      <w:pPr>
        <w:spacing w:after="50" w:line="360" w:lineRule="auto" w:beforeLines="100"/>
        <w:ind w:left="0"/>
        <w:jc w:val="left"/>
      </w:pPr>
      <w:bookmarkStart w:name="ub94e598e" w:id="54"/>
      <w:r>
        <w:rPr>
          <w:rFonts w:eastAsia="宋体" w:ascii="宋体"/>
        </w:rPr>
        <w:drawing>
          <wp:inline distT="0" distB="0" distL="0" distR="0">
            <wp:extent cx="5842000" cy="132920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6134" cy="14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4"/>
    </w:p>
    <w:bookmarkEnd w:id="5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5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