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VoxelNet: End-to-End Learning for Point Cloud Based 3D Object Detection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nZen7" w:id="0"/>
      <w:r>
        <w:rPr>
          <w:rFonts w:ascii="宋体" w:hAnsi="Times New Roman" w:eastAsia="宋体"/>
        </w:rPr>
        <w:t>论文地址</w:t>
      </w:r>
    </w:p>
    <w:bookmarkEnd w:id="0"/>
    <w:bookmarkStart w:name="u76e0d974" w:id="1"/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https://arxiv.org/pdf/1711.06396.pdf</w:t>
        </w:r>
      </w:hyperlink>
    </w:p>
    <w:bookmarkEnd w:id="1"/>
    <w:bookmarkStart w:name="u324e9d0d" w:id="2"/>
    <w:bookmarkEnd w:id="2"/>
    <w:bookmarkStart w:name="eMSOL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概括</w:t>
      </w:r>
    </w:p>
    <w:bookmarkEnd w:id="3"/>
    <w:bookmarkStart w:name="u75a505a1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点云处理的困难: 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点云稀疏、点云密度变化、点云数量比较多</w:t>
      </w:r>
    </w:p>
    <w:bookmarkEnd w:id="4"/>
    <w:bookmarkStart w:name="u23e8f91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该论文提出一个直接处理点云，不使用人工特征的点云网络VoxelNet</w:t>
      </w:r>
    </w:p>
    <w:bookmarkEnd w:id="5"/>
    <w:bookmarkStart w:name="u5ad43049" w:id="6"/>
    <w:bookmarkEnd w:id="6"/>
    <w:bookmarkStart w:name="Y7MFW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模型架构与细节</w:t>
      </w:r>
    </w:p>
    <w:bookmarkEnd w:id="7"/>
    <w:bookmarkStart w:name="u1oqu" w:id="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模型架构</w:t>
      </w:r>
    </w:p>
    <w:bookmarkEnd w:id="8"/>
    <w:bookmarkStart w:name="u74c6f41d" w:id="9"/>
    <w:p>
      <w:pPr>
        <w:spacing w:after="50" w:line="360" w:lineRule="auto" w:beforeLines="100"/>
        <w:ind w:left="0"/>
        <w:jc w:val="center"/>
      </w:pPr>
      <w:bookmarkStart w:name="u49a42e48" w:id="10"/>
      <w:r>
        <w:rPr>
          <w:rFonts w:eastAsia="宋体" w:ascii="宋体"/>
        </w:rPr>
        <w:drawing>
          <wp:inline distT="0" distB="0" distL="0" distR="0">
            <wp:extent cx="5842000" cy="297334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1734" cy="46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5af9d703" w:id="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模型由三个部分组成，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(1) Feature learning network, (2) Convolutional middle layers, and (3) Region proposal network</w:t>
      </w:r>
    </w:p>
    <w:bookmarkEnd w:id="11"/>
    <w:bookmarkStart w:name="dvRlf" w:id="1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Feature learning network</w:t>
      </w:r>
    </w:p>
    <w:bookmarkEnd w:id="12"/>
    <w:bookmarkStart w:name="u3a9836ab" w:id="13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Voxel Partition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对于输入点云所在的空间大小使用D、H、W表示，等距分割成很多小的Voxel，每个Voxel大小为V</w:t>
      </w:r>
      <w:r>
        <w:rPr>
          <w:rFonts w:ascii="宋体" w:hAnsi="Times New Roman" w:eastAsia="宋体"/>
          <w:b w:val="false"/>
          <w:i w:val="false"/>
          <w:color w:val="000000"/>
        </w:rPr>
        <w:t>D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、V</w:t>
      </w:r>
      <w:r>
        <w:rPr>
          <w:rFonts w:ascii="宋体" w:hAnsi="Times New Roman" w:eastAsia="宋体"/>
          <w:b w:val="false"/>
          <w:i w:val="false"/>
          <w:color w:val="000000"/>
        </w:rPr>
        <w:t>H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、V</w:t>
      </w:r>
      <w:r>
        <w:rPr>
          <w:rFonts w:ascii="宋体" w:hAnsi="Times New Roman" w:eastAsia="宋体"/>
          <w:b w:val="false"/>
          <w:i w:val="false"/>
          <w:color w:val="000000"/>
        </w:rPr>
        <w:t>W</w:t>
      </w:r>
    </w:p>
    <w:bookmarkEnd w:id="13"/>
    <w:bookmarkStart w:name="ubd5d6451" w:id="14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Grouping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：根据点所在的Voxel进行分组，每组的点后续一起操作</w:t>
      </w:r>
    </w:p>
    <w:bookmarkEnd w:id="14"/>
    <w:bookmarkStart w:name="u3d4858b5" w:id="15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Random Sampling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：从点数多于T的Voxel内采样出T个点，使得每个voxel内的点数都不超过T，降低Voxel之间的点数不平衡同时可以降低计算量</w:t>
      </w:r>
    </w:p>
    <w:bookmarkEnd w:id="15"/>
    <w:bookmarkStart w:name="uf94ad290" w:id="16"/>
    <w:p>
      <w:pPr>
        <w:numPr>
          <w:ilvl w:val="0"/>
          <w:numId w:val="1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/>
          <w:i w:val="false"/>
          <w:color w:val="e8323c"/>
          <w:sz w:val="22"/>
        </w:rPr>
        <w:t>Stacked Voxel Feature Encoding</w:t>
      </w:r>
      <w:r>
        <w:rPr>
          <w:rFonts w:ascii="宋体" w:hAnsi="Times New Roman" w:eastAsia="宋体"/>
          <w:b w:val="false"/>
          <w:i w:val="false"/>
          <w:color w:val="121212"/>
          <w:sz w:val="22"/>
        </w:rPr>
        <w:t>：将VFE layers级联，提取每个voxel的特征。VFE网络结构如下图所示，对于每一个Voxel来说，对内部的点均是执行如下操作，如点Pi(Xi，Yi，Zi，Ri)，其中ri表达的是反射率</w:t>
      </w:r>
    </w:p>
    <w:bookmarkEnd w:id="16"/>
    <w:bookmarkStart w:name="uf6cfe9b9" w:id="17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计算所有点的均值，记为（Vx，Vy，Vz）</w:t>
      </w:r>
    </w:p>
    <w:bookmarkEnd w:id="17"/>
    <w:bookmarkStart w:name="u7df674ca" w:id="18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将点Pi表示为{Xi，Yi，Zi，Ri，Xi-Vx，Yi-Vy，Zi-Vz}，增加了全局特征和残差特征</w:t>
      </w:r>
    </w:p>
    <w:bookmarkEnd w:id="18"/>
    <w:bookmarkStart w:name="u272d34d2" w:id="19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对上述步骤的点通过FCN层转换到特征空间，FCN由一个线性层、一个BN、一个RELU组成，即可得到Point-wise Feature</w:t>
      </w:r>
    </w:p>
    <w:bookmarkEnd w:id="19"/>
    <w:bookmarkStart w:name="u4d9ab3a5" w:id="20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 xml:space="preserve">再通过Element-wise maxpooling层，结合周围的所有的点得到Locally Aggregated Feature </w:t>
      </w:r>
    </w:p>
    <w:bookmarkEnd w:id="20"/>
    <w:bookmarkStart w:name="ua49920ab" w:id="21"/>
    <w:p>
      <w:pPr>
        <w:numPr>
          <w:ilvl w:val="1"/>
          <w:numId w:val="2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最后将Point-wise Feature和Locally Aggregated Feature两种特征Concat在一起</w:t>
      </w:r>
    </w:p>
    <w:bookmarkEnd w:id="21"/>
    <w:bookmarkStart w:name="u92b10e97" w:id="22"/>
    <w:p>
      <w:pPr>
        <w:spacing w:after="50" w:line="360" w:lineRule="auto" w:beforeLines="100"/>
        <w:ind w:left="0"/>
        <w:jc w:val="center"/>
      </w:pPr>
      <w:bookmarkStart w:name="u3438bf5c" w:id="23"/>
      <w:r>
        <w:rPr>
          <w:rFonts w:eastAsia="宋体" w:ascii="宋体"/>
        </w:rPr>
        <w:drawing>
          <wp:inline distT="0" distB="0" distL="0" distR="0">
            <wp:extent cx="4487333" cy="29552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29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ab376300" w:id="24"/>
    <w:p>
      <w:pPr>
        <w:numPr>
          <w:ilvl w:val="0"/>
          <w:numId w:val="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经过n个VFE Layers之后就得到了上图中的Point-wise Feature-n，然后输入到FC再MP，就得到了描述该Voxel的特征Voxel-wise Feature，其中FC层的参数共享</w:t>
      </w:r>
    </w:p>
    <w:bookmarkEnd w:id="24"/>
    <w:bookmarkStart w:name="u104759d0" w:id="25"/>
    <w:p>
      <w:pPr>
        <w:numPr>
          <w:ilvl w:val="0"/>
          <w:numId w:val="3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Sparse Tensor Representation：最终的点云可以用4D Tensor表示（尺寸C*D'*H'*W'），C是每个Voxel的特征向量长度，D'是Z轴方向上的Voxels的个数，H'(Y轴)、W'(X轴)与D'意义相同，其中XOY平面就是BEV平面。超过90%的Voxel都是空的</w:t>
      </w:r>
    </w:p>
    <w:bookmarkEnd w:id="25"/>
    <w:bookmarkStart w:name="u2a7a7dcf" w:id="26"/>
    <w:bookmarkEnd w:id="26"/>
    <w:bookmarkStart w:name="nBGI5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Convolutional Middle Layers</w:t>
      </w:r>
    </w:p>
    <w:bookmarkEnd w:id="27"/>
    <w:bookmarkStart w:name="ub79d9171" w:id="28"/>
    <w:p>
      <w:pPr>
        <w:numPr>
          <w:ilvl w:val="0"/>
          <w:numId w:val="4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使用3D卷积对4D tensor进行卷积，并进行reshape到3D tensor</w:t>
      </w:r>
    </w:p>
    <w:bookmarkEnd w:id="28"/>
    <w:bookmarkStart w:name="u10d44555" w:id="29"/>
    <w:p>
      <w:pPr>
        <w:numPr>
          <w:ilvl w:val="1"/>
          <w:numId w:val="5"/>
        </w:numPr>
        <w:spacing w:after="50" w:line="360" w:lineRule="auto" w:beforeLines="100"/>
        <w:ind w:left="72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举例:输入尺寸是4D Tensor是(128*10*400*352)，输出（经过Convolutional Middle Layers之后）是（64*2*400*352）,然后reshape到128*400*352,变成3D tensor（注意到400*352 正是BEV视图上的栅格尺寸）</w:t>
      </w:r>
    </w:p>
    <w:bookmarkEnd w:id="29"/>
    <w:bookmarkStart w:name="u5b2fea80" w:id="30"/>
    <w:p>
      <w:pPr>
        <w:numPr>
          <w:ilvl w:val="2"/>
          <w:numId w:val="6"/>
        </w:numPr>
        <w:spacing w:after="50" w:line="360" w:lineRule="auto" w:beforeLines="100"/>
        <w:ind w:left="108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3D卷积可以聚合Voxel周边关联的Voxel的信息</w:t>
      </w:r>
    </w:p>
    <w:bookmarkEnd w:id="30"/>
    <w:bookmarkStart w:name="u7f827565" w:id="31"/>
    <w:p>
      <w:pPr>
        <w:numPr>
          <w:ilvl w:val="2"/>
          <w:numId w:val="6"/>
        </w:numPr>
        <w:spacing w:after="50" w:line="360" w:lineRule="auto" w:beforeLines="100"/>
        <w:ind w:left="108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Reshape之后可以使用RPN网络进行2D卷积</w:t>
      </w:r>
    </w:p>
    <w:bookmarkEnd w:id="31"/>
    <w:bookmarkStart w:name="u9b8f1383" w:id="32"/>
    <w:bookmarkEnd w:id="32"/>
    <w:bookmarkStart w:name="xmJQ6" w:id="3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121212"/>
        </w:rPr>
        <w:t>Region Proposal Network</w:t>
      </w:r>
    </w:p>
    <w:bookmarkEnd w:id="33"/>
    <w:bookmarkStart w:name="u4430b84d" w:id="34"/>
    <w:p>
      <w:pPr>
        <w:spacing w:after="50" w:line="360" w:lineRule="auto" w:beforeLines="100"/>
        <w:ind w:left="0"/>
        <w:jc w:val="both"/>
      </w:pPr>
      <w:bookmarkStart w:name="u49fb002a" w:id="35"/>
      <w:r>
        <w:rPr>
          <w:rFonts w:eastAsia="宋体" w:ascii="宋体"/>
        </w:rPr>
        <w:drawing>
          <wp:inline distT="0" distB="0" distL="0" distR="0">
            <wp:extent cx="5842000" cy="20855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5be0a541" w:id="36"/>
    <w:p>
      <w:pPr>
        <w:numPr>
          <w:ilvl w:val="0"/>
          <w:numId w:val="7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多尺度采样，上采样特征图再Concat在一起</w:t>
      </w:r>
    </w:p>
    <w:bookmarkEnd w:id="36"/>
    <w:bookmarkStart w:name="u93b90bdf" w:id="37"/>
    <w:p>
      <w:pPr>
        <w:numPr>
          <w:ilvl w:val="0"/>
          <w:numId w:val="7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学习目标：Probability score map 和 Regression map</w:t>
      </w:r>
    </w:p>
    <w:bookmarkEnd w:id="37"/>
    <w:bookmarkStart w:name="u726afafa" w:id="38"/>
    <w:p>
      <w:pPr>
        <w:numPr>
          <w:ilvl w:val="0"/>
          <w:numId w:val="7"/>
        </w:numPr>
        <w:spacing w:after="50" w:line="360" w:lineRule="auto" w:beforeLines="100"/>
        <w:ind w:left="360"/>
        <w:jc w:val="both"/>
      </w:pPr>
      <w:r>
        <w:rPr>
          <w:rFonts w:ascii="宋体" w:hAnsi="Times New Roman" w:eastAsia="宋体"/>
          <w:b w:val="false"/>
          <w:i w:val="false"/>
          <w:color w:val="121212"/>
          <w:sz w:val="22"/>
        </w:rPr>
        <w:t>最终的卷积是在类似BEV的视图上进行卷积，但是输出的回归量是3D的</w:t>
      </w:r>
    </w:p>
    <w:bookmarkEnd w:id="38"/>
    <w:bookmarkStart w:name="ue1057140" w:id="39"/>
    <w:bookmarkEnd w:id="39"/>
    <w:bookmarkStart w:name="UfQuX" w:id="4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Loss Function</w:t>
      </w:r>
    </w:p>
    <w:bookmarkEnd w:id="40"/>
    <w:bookmarkStart w:name="uc833e4f3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Scores通道为2，分别对应positive和negative分数，regression map存在14维，对于每一个回归的BBox都用7维来表示</w:t>
      </w:r>
    </w:p>
    <w:bookmarkEnd w:id="41"/>
    <w:bookmarkStart w:name="uc220af46" w:id="42"/>
    <w:p>
      <w:pPr>
        <w:spacing w:after="50" w:line="360" w:lineRule="auto" w:beforeLines="100"/>
        <w:ind w:left="0"/>
        <w:jc w:val="center"/>
      </w:pPr>
      <w:bookmarkStart w:name="u66e7628e" w:id="43"/>
      <w:r>
        <w:rPr>
          <w:rFonts w:eastAsia="宋体" w:ascii="宋体"/>
        </w:rPr>
        <w:drawing>
          <wp:inline distT="0" distB="0" distL="0" distR="0">
            <wp:extent cx="1524000" cy="1836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d9bac87d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即中心位置+长宽高+yaw轴，默认地面是水平的，因此只需要7个参数既可以进行表示。假设要预测的anchor为:</w:t>
      </w:r>
    </w:p>
    <w:bookmarkEnd w:id="44"/>
    <w:bookmarkStart w:name="uad5ed5a7" w:id="45"/>
    <w:p>
      <w:pPr>
        <w:spacing w:after="50" w:line="360" w:lineRule="auto" w:beforeLines="100"/>
        <w:ind w:left="0"/>
        <w:jc w:val="center"/>
      </w:pPr>
      <w:bookmarkStart w:name="u068407d6" w:id="46"/>
      <w:r>
        <w:rPr>
          <w:rFonts w:eastAsia="宋体" w:ascii="宋体"/>
        </w:rPr>
        <w:drawing>
          <wp:inline distT="0" distB="0" distL="0" distR="0">
            <wp:extent cx="1456267" cy="1952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267" cy="19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b1eedaeb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此时残差表示如下:</w:t>
      </w:r>
    </w:p>
    <w:bookmarkEnd w:id="47"/>
    <w:bookmarkStart w:name="u276bdb03" w:id="48"/>
    <w:p>
      <w:pPr>
        <w:spacing w:after="50" w:line="360" w:lineRule="auto" w:beforeLines="100"/>
        <w:ind w:left="0"/>
        <w:jc w:val="center"/>
      </w:pPr>
      <w:bookmarkStart w:name="ufa6811c1" w:id="49"/>
      <w:r>
        <w:rPr>
          <w:rFonts w:eastAsia="宋体" w:ascii="宋体"/>
        </w:rPr>
        <w:drawing>
          <wp:inline distT="0" distB="0" distL="0" distR="0">
            <wp:extent cx="2624667" cy="85439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9"/>
    </w:p>
    <w:bookmarkEnd w:id="48"/>
    <w:bookmarkStart w:name="ud7790df1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其中：</w:t>
      </w:r>
    </w:p>
    <w:bookmarkEnd w:id="50"/>
    <w:bookmarkStart w:name="u6ed215d6" w:id="51"/>
    <w:p>
      <w:pPr>
        <w:spacing w:after="50" w:line="360" w:lineRule="auto" w:beforeLines="100"/>
        <w:ind w:left="0"/>
        <w:jc w:val="center"/>
      </w:pPr>
      <w:bookmarkStart w:name="u321c0371" w:id="52"/>
      <w:r>
        <w:rPr>
          <w:rFonts w:eastAsia="宋体" w:ascii="宋体"/>
        </w:rPr>
        <w:drawing>
          <wp:inline distT="0" distB="0" distL="0" distR="0">
            <wp:extent cx="1253067" cy="202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2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bookmarkEnd w:id="51"/>
    <w:bookmarkStart w:name="uffd39eb8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损失函数定义为:</w:t>
      </w:r>
    </w:p>
    <w:bookmarkEnd w:id="53"/>
    <w:bookmarkStart w:name="u0184cf44" w:id="54"/>
    <w:p>
      <w:pPr>
        <w:spacing w:after="50" w:line="360" w:lineRule="auto" w:beforeLines="100"/>
        <w:ind w:left="0"/>
        <w:jc w:val="center"/>
      </w:pPr>
      <w:bookmarkStart w:name="u9c21ae67" w:id="55"/>
      <w:r>
        <w:rPr>
          <w:rFonts w:eastAsia="宋体" w:ascii="宋体"/>
        </w:rPr>
        <w:drawing>
          <wp:inline distT="0" distB="0" distL="0" distR="0">
            <wp:extent cx="3048000" cy="8229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5"/>
    </w:p>
    <w:bookmarkEnd w:id="54"/>
    <w:bookmarkStart w:name="uc18d42b0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损失为常见的交叉熵损失函数和L1 Loss损失函数，主要学习的是与anchor-gt之间的残差，借鉴了Faster RCNN模型。</w:t>
      </w:r>
    </w:p>
    <w:bookmarkEnd w:id="56"/>
    <w:bookmarkStart w:name="ue365c675" w:id="57"/>
    <w:bookmarkEnd w:id="57"/>
    <w:bookmarkStart w:name="u2833b681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nchor的大小是跟具体检测的目标有关系的，如汽车是需要使用专门设计的anchor来进行检测，假设预测出的anchor在鸟瞰图中具有和gt最大的IOU或则它与gt的IOU值大于0.6就为positive.如果和所有的gt都小于0.45，就是negtative，处于0.45~0.6之间的不做处理。</w:t>
      </w:r>
    </w:p>
    <w:bookmarkEnd w:id="58"/>
    <w:bookmarkStart w:name="u755d4d93" w:id="59"/>
    <w:bookmarkEnd w:id="59"/>
    <w:bookmarkStart w:name="zaR72" w:id="6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简单总结</w:t>
      </w:r>
    </w:p>
    <w:bookmarkEnd w:id="60"/>
    <w:bookmarkStart w:name="u67d65ea6" w:id="61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该论文当时直接在点云上得到SOTA的结果，比很多直接使用多模融合效果要好，原因可能是</w:t>
      </w:r>
    </w:p>
    <w:bookmarkEnd w:id="61"/>
    <w:bookmarkStart w:name="u19fb5ec2" w:id="62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3D下的目标检测，可能跟RGB信息相关性不那么大，更容易通过形状信息来学习到</w:t>
      </w:r>
    </w:p>
    <w:bookmarkEnd w:id="62"/>
    <w:bookmarkStart w:name="u60080194" w:id="63"/>
    <w:p>
      <w:pPr>
        <w:numPr>
          <w:ilvl w:val="1"/>
          <w:numId w:val="9"/>
        </w:numPr>
        <w:spacing w:after="50" w:line="360" w:lineRule="auto" w:beforeLines="100"/>
        <w:ind w:left="72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多模交互的方式存在问题？</w:t>
      </w:r>
    </w:p>
    <w:bookmarkEnd w:id="6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arxiv.org/pdf/1711.06396.pdf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