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YOLOP</w:t>
      </w:r>
    </w:p>
    <w:p>
      <w:pPr>
        <w:spacing w:after="50" w:line="360" w:lineRule="auto" w:beforeLines="100"/>
        <w:ind w:left="0"/>
        <w:jc w:val="left"/>
      </w:pPr>
      <w:bookmarkStart w:name="uffdeef56" w:id="0"/>
      <w:r>
        <w:rPr>
          <w:rFonts w:ascii="宋体" w:hAnsi="Times New Roman" w:eastAsia="宋体"/>
          <w:b/>
          <w:i w:val="false"/>
          <w:color w:val="000000"/>
          <w:sz w:val="24"/>
        </w:rPr>
        <w:t>YOLOP: You Only Look Once for Panoptic Driving Perception</w:t>
      </w:r>
    </w:p>
    <w:bookmarkEnd w:id="0"/>
    <w:bookmarkStart w:name="u1edbc57d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论文地址：</w:t>
      </w:r>
    </w:p>
    <w:bookmarkEnd w:id="1"/>
    <w:bookmarkStart w:name="ub66da833" w:id="2"/>
    <w:p>
      <w:pPr>
        <w:spacing w:after="50" w:line="360" w:lineRule="auto" w:beforeLines="100"/>
        <w:ind w:left="0"/>
        <w:jc w:val="left"/>
      </w:pPr>
      <w:hyperlink r:id="rId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https://arxiv.org/pdf/2108.11250.pdf</w:t>
        </w:r>
      </w:hyperlink>
    </w:p>
    <w:bookmarkEnd w:id="2"/>
    <w:bookmarkStart w:name="u3fa7a9ca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代码地址：</w:t>
      </w:r>
    </w:p>
    <w:bookmarkEnd w:id="3"/>
    <w:bookmarkStart w:name="uc6f3764a" w:id="4"/>
    <w:p>
      <w:pPr>
        <w:spacing w:after="50" w:line="360" w:lineRule="auto" w:beforeLines="100"/>
        <w:ind w:left="0"/>
        <w:jc w:val="left"/>
      </w:pPr>
      <w:hyperlink r:id="rId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https://github.com/hustvl/YOLOP</w:t>
        </w:r>
      </w:hyperlink>
    </w:p>
    <w:bookmarkEnd w:id="4"/>
    <w:bookmarkStart w:name="U2kha" w:id="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网络结构</w:t>
      </w:r>
    </w:p>
    <w:bookmarkEnd w:id="5"/>
    <w:bookmarkStart w:name="ub82958b3" w:id="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YOLOP包含一个共享编码器去执行多任务，neck之后接了2D检测头（</w:t>
      </w:r>
      <w:r>
        <w:rPr>
          <w:rFonts w:ascii="宋体" w:hAnsi="Times New Roman" w:eastAsia="宋体"/>
          <w:b/>
          <w:i w:val="false"/>
          <w:color w:val="000000"/>
          <w:sz w:val="22"/>
        </w:rPr>
        <w:t>Detect Head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），可行驶区域分割头（</w:t>
      </w:r>
      <w:r>
        <w:rPr>
          <w:rFonts w:ascii="宋体" w:hAnsi="Times New Roman" w:eastAsia="宋体"/>
          <w:b/>
          <w:i w:val="false"/>
          <w:color w:val="000000"/>
          <w:sz w:val="22"/>
        </w:rPr>
        <w:t>Driable Area Segment Head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），车道线分割头（</w:t>
      </w:r>
      <w:r>
        <w:rPr>
          <w:rFonts w:ascii="宋体" w:hAnsi="Times New Roman" w:eastAsia="宋体"/>
          <w:b/>
          <w:i w:val="false"/>
          <w:color w:val="000000"/>
          <w:sz w:val="22"/>
        </w:rPr>
        <w:t>Lane Line Segment Head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）。</w:t>
      </w:r>
    </w:p>
    <w:bookmarkEnd w:id="6"/>
    <w:bookmarkStart w:name="u484108be" w:id="7"/>
    <w:p>
      <w:pPr>
        <w:spacing w:after="50" w:line="360" w:lineRule="auto" w:beforeLines="100"/>
        <w:ind w:left="0"/>
        <w:jc w:val="left"/>
      </w:pPr>
      <w:bookmarkStart w:name="u78744a21" w:id="8"/>
      <w:r>
        <w:rPr>
          <w:rFonts w:eastAsia="宋体" w:ascii="宋体"/>
        </w:rPr>
        <w:drawing>
          <wp:inline distT="0" distB="0" distL="0" distR="0">
            <wp:extent cx="5842000" cy="3563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87466" cy="59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7"/>
    <w:bookmarkStart w:name="GVeAm" w:id="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021eaa"/>
        </w:rPr>
        <w:t>Encoder</w:t>
      </w:r>
    </w:p>
    <w:bookmarkEnd w:id="9"/>
    <w:bookmarkStart w:name="u42a8e025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a1a1a"/>
          <w:sz w:val="22"/>
        </w:rPr>
        <w:t>该网络中的编码器由骨干网络与Neck网络构成：</w:t>
      </w:r>
    </w:p>
    <w:bookmarkEnd w:id="10"/>
    <w:bookmarkStart w:name="u91806196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Backbone</w:t>
      </w:r>
      <w:r>
        <w:rPr>
          <w:rFonts w:ascii="宋体" w:hAnsi="Times New Roman" w:eastAsia="宋体"/>
          <w:b w:val="false"/>
          <w:i w:val="false"/>
          <w:color w:val="1a1a1a"/>
          <w:sz w:val="22"/>
        </w:rPr>
        <w:t xml:space="preserve"> ：骨干网络用于提取输入图像的特征，考虑到YOLOv4在2D目标检测中的优异性能，选择CSPDarkNet作为骨干网络。</w:t>
      </w:r>
    </w:p>
    <w:bookmarkEnd w:id="11"/>
    <w:bookmarkStart w:name="ucc4caf93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Neck</w:t>
      </w:r>
      <w:r>
        <w:rPr>
          <w:rFonts w:ascii="宋体" w:hAnsi="Times New Roman" w:eastAsia="宋体"/>
          <w:b w:val="false"/>
          <w:i w:val="false"/>
          <w:color w:val="1a1a1a"/>
          <w:sz w:val="22"/>
        </w:rPr>
        <w:t xml:space="preserve"> ：Neck用于对骨干网络提取的特征进行融合，主要采用了SPP与FPN构建Neck模块。SPP用于生成融合不同尺度的特征；FPN则在不同语义层面融合特征，使得生成特征包含多尺度、多语义级信息。</w:t>
      </w:r>
    </w:p>
    <w:bookmarkEnd w:id="12"/>
    <w:bookmarkStart w:name="CpqSS" w:id="1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021eaa"/>
        </w:rPr>
        <w:t>Decoders</w:t>
      </w:r>
    </w:p>
    <w:bookmarkEnd w:id="13"/>
    <w:bookmarkStart w:name="u0cfdcb60" w:id="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a1a1a"/>
          <w:sz w:val="22"/>
        </w:rPr>
        <w:t>YOLOP包含三个用于三个任务的解码器：</w:t>
      </w:r>
    </w:p>
    <w:bookmarkEnd w:id="14"/>
    <w:bookmarkStart w:name="u59b9cfaa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Detect Head</w:t>
      </w:r>
      <w:r>
        <w:rPr>
          <w:rFonts w:ascii="宋体" w:hAnsi="Times New Roman" w:eastAsia="宋体"/>
          <w:b w:val="false"/>
          <w:i w:val="false"/>
          <w:color w:val="1a1a1a"/>
          <w:sz w:val="22"/>
        </w:rPr>
        <w:t xml:space="preserve"> 类似YOLOv4，采用了基于Anchor的多尺度检测机制。首先，采用PAN进行更优特征融合，然后采用融合后特征进行检测：多尺度特征的每个grid被赋予三个先验anchor(包含不同纵横比)，检测头将预测位置偏移、高宽、类别概率以及预测置信度。</w:t>
      </w:r>
    </w:p>
    <w:bookmarkEnd w:id="15"/>
    <w:bookmarkStart w:name="u22c6cade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Driable Area Segment Head &amp; Lane Line Segment Head</w:t>
      </w:r>
      <w:r>
        <w:rPr>
          <w:rFonts w:ascii="宋体" w:hAnsi="Times New Roman" w:eastAsia="宋体"/>
          <w:b w:val="false"/>
          <w:i w:val="false"/>
          <w:color w:val="1a1a1a"/>
          <w:sz w:val="22"/>
        </w:rPr>
        <w:t xml:space="preserve"> 驾驶区域分割头与车道线分割头采用了相同结构。将FPN的输出特征(分辨率为[w/8, H/8,256])送入到分割分支。设计的分割分支非常简单，通过三次上采样处理输出特征尺寸为</w:t>
      </w:r>
      <w:r>
        <w:rPr>
          <w:rFonts w:ascii="宋体" w:hAnsi="Times New Roman" w:eastAsia="宋体"/>
          <w:b w:val="false"/>
          <w:i/>
          <w:color w:val="000000"/>
          <w:sz w:val="22"/>
        </w:rPr>
        <w:t>(W, H, 2)</w:t>
      </w:r>
      <w:r>
        <w:rPr>
          <w:rFonts w:ascii="宋体" w:hAnsi="Times New Roman" w:eastAsia="宋体"/>
          <w:b w:val="false"/>
          <w:i w:val="false"/>
          <w:color w:val="1a1a1a"/>
          <w:sz w:val="22"/>
        </w:rPr>
        <w:t>，代表每个像素是驾驶区域/车道线还是背景的概率。由于Neck中已包含SPP模块，并未像PSPNet添加额外的SPP模块。此外，采用了最近邻上采样层以降低计算量。因此，分割解码器不仅具有高精度输出，同时推理速度非常快。</w:t>
      </w:r>
    </w:p>
    <w:bookmarkEnd w:id="16"/>
    <w:bookmarkStart w:name="QY8ps" w:id="1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1d39c4"/>
        </w:rPr>
        <w:t>Loss Function</w:t>
      </w:r>
    </w:p>
    <w:bookmarkEnd w:id="17"/>
    <w:bookmarkStart w:name="u30de3019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检测头loss：</w:t>
      </w:r>
    </w:p>
    <w:bookmarkEnd w:id="18"/>
    <w:bookmarkStart w:name="u93432834" w:id="19"/>
    <w:p>
      <w:pPr>
        <w:spacing w:after="50" w:line="360" w:lineRule="auto" w:beforeLines="100"/>
        <w:ind w:left="0"/>
        <w:jc w:val="left"/>
      </w:pPr>
      <w:bookmarkStart w:name="ub15e37cf" w:id="20"/>
      <w:r>
        <w:rPr>
          <w:rFonts w:eastAsia="宋体" w:ascii="宋体"/>
        </w:rPr>
        <w:drawing>
          <wp:inline distT="0" distB="0" distL="0" distR="0">
            <wp:extent cx="2726267" cy="4586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6267" cy="4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bookmarkEnd w:id="19"/>
    <w:bookmarkStart w:name="uc872d8dc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可行驶区域和车道线检测loss：</w:t>
      </w:r>
    </w:p>
    <w:bookmarkEnd w:id="21"/>
    <w:bookmarkStart w:name="u7a3618ba" w:id="22"/>
    <w:p>
      <w:pPr>
        <w:spacing w:after="50" w:line="360" w:lineRule="auto" w:beforeLines="100"/>
        <w:ind w:left="0"/>
        <w:jc w:val="left"/>
      </w:pPr>
      <w:bookmarkStart w:name="u90e3eb11" w:id="23"/>
      <w:r>
        <w:rPr>
          <w:rFonts w:eastAsia="宋体" w:ascii="宋体"/>
        </w:rPr>
        <w:drawing>
          <wp:inline distT="0" distB="0" distL="0" distR="0">
            <wp:extent cx="1998133" cy="6615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8133" cy="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bookmarkEnd w:id="22"/>
    <w:bookmarkStart w:name="uf9c3fb5a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总体loss：</w:t>
      </w:r>
    </w:p>
    <w:bookmarkEnd w:id="24"/>
    <w:bookmarkStart w:name="u11ee0dd9" w:id="25"/>
    <w:p>
      <w:pPr>
        <w:spacing w:after="50" w:line="360" w:lineRule="auto" w:beforeLines="100"/>
        <w:ind w:left="0"/>
        <w:jc w:val="left"/>
      </w:pPr>
      <w:bookmarkStart w:name="u470ec692" w:id="26"/>
      <w:r>
        <w:rPr>
          <w:rFonts w:eastAsia="宋体" w:ascii="宋体"/>
        </w:rPr>
        <w:drawing>
          <wp:inline distT="0" distB="0" distL="0" distR="0">
            <wp:extent cx="2895600" cy="4498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bookmarkEnd w:id="25"/>
    <w:bookmarkStart w:name="qk3bl" w:id="2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021eaa"/>
        </w:rPr>
        <w:t>Training Paradigm</w:t>
      </w:r>
    </w:p>
    <w:bookmarkEnd w:id="27"/>
    <w:bookmarkStart w:name="ud5916348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a1a1a"/>
          <w:sz w:val="22"/>
        </w:rPr>
        <w:t>其尝试了不同范式训练上述模型。最简单的是端到端训练，然后三个任务可以进行联合学习。也尝试了交替优化算法：即每一步聚焦于一个或多个相关任务，而忽视不相关任务。下图给出了本文所用到的step-by-step训练方案。</w:t>
      </w:r>
    </w:p>
    <w:bookmarkEnd w:id="28"/>
    <w:bookmarkStart w:name="u4cc9d1e7" w:id="29"/>
    <w:p>
      <w:pPr>
        <w:spacing w:after="50" w:line="360" w:lineRule="auto" w:beforeLines="100"/>
        <w:ind w:left="0"/>
        <w:jc w:val="left"/>
      </w:pPr>
      <w:bookmarkStart w:name="Q0AyR" w:id="30"/>
      <w:r>
        <w:rPr>
          <w:rFonts w:eastAsia="宋体" w:ascii="宋体"/>
        </w:rPr>
        <w:drawing>
          <wp:inline distT="0" distB="0" distL="0" distR="0">
            <wp:extent cx="3928533" cy="58645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533" cy="58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u3vvS" w:id="3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结果</w:t>
      </w:r>
    </w:p>
    <w:bookmarkEnd w:id="31"/>
    <w:bookmarkStart w:name="u7f7ab630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最后YOLOP在BDD100K上取得了较好结果，且计算速度明显更快。</w:t>
      </w:r>
    </w:p>
    <w:bookmarkEnd w:id="32"/>
    <w:bookmarkStart w:name="u0af04327" w:id="33"/>
    <w:p>
      <w:pPr>
        <w:spacing w:after="50" w:line="360" w:lineRule="auto" w:beforeLines="100"/>
        <w:ind w:left="0"/>
        <w:jc w:val="left"/>
      </w:pPr>
      <w:bookmarkStart w:name="uda6512e5" w:id="34"/>
      <w:r>
        <w:rPr>
          <w:rFonts w:eastAsia="宋体" w:ascii="宋体"/>
        </w:rPr>
        <w:drawing>
          <wp:inline distT="0" distB="0" distL="0" distR="0">
            <wp:extent cx="3843867" cy="37930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867" cy="37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3"/>
    <w:bookmarkStart w:name="qeYNE" w:id="3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效果</w:t>
      </w:r>
    </w:p>
    <w:bookmarkEnd w:id="35"/>
    <w:bookmarkStart w:name="ua942774e" w:id="36"/>
    <w:p>
      <w:pPr>
        <w:spacing w:after="50" w:line="360" w:lineRule="auto" w:beforeLines="100"/>
        <w:ind w:left="0"/>
        <w:jc w:val="left"/>
      </w:pPr>
      <w:bookmarkStart w:name="u7937005a" w:id="37"/>
      <w:r>
        <w:rPr>
          <w:rFonts w:eastAsia="宋体" w:ascii="宋体"/>
        </w:rPr>
        <w:drawing>
          <wp:inline distT="0" distB="0" distL="0" distR="0">
            <wp:extent cx="1236133" cy="9268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6133" cy="9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Start w:name="u5e0a0f25" w:id="38"/>
      <w:r>
        <w:rPr>
          <w:rFonts w:eastAsia="宋体" w:ascii="宋体"/>
        </w:rPr>
        <w:drawing>
          <wp:inline distT="0" distB="0" distL="0" distR="0">
            <wp:extent cx="1236133" cy="9268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6133" cy="9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6"/>
    <w:bookmarkStart w:name="u036cedae" w:id="39"/>
    <w:bookmarkEnd w:id="39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https://arxiv.org/pdf/2108.11250.pdf" TargetMode="External" Type="http://schemas.openxmlformats.org/officeDocument/2006/relationships/hyperlink"/><Relationship Id="rId5" Target="https://github.com/hustvl/YOLOP" TargetMode="External" Type="http://schemas.openxmlformats.org/officeDocument/2006/relationships/hyperlink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