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4D8C"/>
          <w:sz w:val="60"/>
          <w:szCs w:val="60"/>
        </w:rPr>
        <w:t xml:space="preserve">储能项目投资效益测算系统</w:t>
      </w:r>
    </w:p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完整开发技术文档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Energy Storage Investment Analysis System  —  Full Technical Specification</w:t>
      </w:r>
    </w:p>
    <w:p>
      <w:pPr>
        <w:spacing w:before="80" w:after="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  2026-03-12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原型参考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pvyuan.com/cnjjpj 储能收益计算工具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数据基础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邛崃储能效益测算-12年运营期.xlsx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技术栈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Recharts + Tailwind CSS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第一章   项目概述与目标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1.1  项目背景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本系统旨在逆向工程并增强 pvyuan.com/cnjjpj（光伏园储能项目投资收益及经济评价计算软件），结合已有的 Excel 效益测算模型，构建一套面向内部使用的、功能完备的储能项目财务分析工具。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原始工具存在的不足：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缺少完整的六大标准财务报表输出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缺少交互式可视化图表，决策支持能力弱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无法保存历史方案、批量对比测算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功能依赖网络，无法离线使用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计算逻辑封闭，无法针对具体项目定制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1.2  项目目标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完整复刻原网页工具的参数输入与核心计算逻辑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集成 Excel 模型中的完整财务模型（16 张工作表）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新增六大财务报表：投资计划与资金筹措表、利润与利润分配表、项目现金流量表、资本金现金流量表、借款还本付息表、运营成本费用表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新增 10 个可视化图表：投资构成、年度收益曲线、成本构成、现金流瀑布图、IRR灵敏度分析等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支持方案保存、历史对比和一键导出（Excel/PDF）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1.3  基准案例关键财务数据（邛崃 100MW/200MWh 项目）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2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财务指标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单位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静态总投资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15,846.26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静态总投表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动态总投资（含建设期利息）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16,036.41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资本金（20%）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3,207.28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长期借款本金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12,829.13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建设期利息（资本化）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运营期（计算期）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输入参数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全投资IRR（税前）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6.38%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资本金IRR（税后）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动态投资回收期（税前）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年均营业收入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3,175.15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年均利润总额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230.06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年均净利润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211.07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万元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表2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第二章   系统架构设计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2.1  技术选型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技术层次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选型方案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类型安全、组件复用、生态成熟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轻量、适合中等复杂度状态，比Redux简单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组件库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高度可定制，现代设计风格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图表库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Recharts（主）+ D3.js（辅）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声明式React图表，定制灵活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计算引擎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纯 TypeScript 模块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精确控制IRR/NPV等复杂迭代算法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导出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SheetJS (xlsx)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生成标准 .xlsx 文件，格式兼容性好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导出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html2canvas + jsPDF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保留完整样式，含图表截图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数据持久化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/ IndexedDB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本地存储，无需后端，隐私安全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构建工具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极速HMR，优化生产构建体积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2.2  目录结构规范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推荐项目目录结构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components/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InputPanel/        # 参数输入面板（5个子分组）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ResultPanel/       # 核心指标卡片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tables/            # 六大财务报表组件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│   ├── InvestmentTable.tsx    # 表1 投资计划与资金筹措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│   ├── ProfitTable.tsx        # 表2 利润与利润分配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│   ├── ProjectCFTable.tsx     # 表3 项目现金流量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│   ├── EquityCFTable.tsx      # 表4 资本金现金流量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│   ├── LoanTable.tsx          # 表5 借款还本付息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│   └── CostTable.tsx          # 表6 运营成本费用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└── charts/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InvestPieChart.tsx      # C01 投资构成饼图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FundingBarChart.tsx     # C02 资金筹措结构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RevenueTrendChart.tsx   # C03 年度收益趋势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CostAreaChart.tsx       # C04 运营成本构成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CashflowWaterfall.tsx   # C05 现金流瀑布图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ProfitDistChart.tsx     # C06 净利润分配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LoanRepayChart.tsx      # C07 还本付息计划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SensitivityChart.tsx    # C08 IRR灵敏度分析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├── PaybackLineChart.tsx    # C09 投资回收期图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└── EnergyDualChart.tsx     # C10 电价电量双轴图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engine/               # 纯函数计算引擎（核心）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investment.ts     # 投资计划与资金筹措计算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loan.ts           # 借款还本付息计算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cost.ts           # 运营成本费用计算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profit.ts         # 利润与利润分配计算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cashflow.ts       # 现金流量计算（全投资+资本金）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irr.ts            # IRR / NPV / 回收期算法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└── index.ts          # 统一导出（runEngine函数）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store/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inputStore.ts     # 输入参数状态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└── resultStore.ts    # 计算结果状态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types/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└── financial.ts      # 全部TypeScript类型定义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utils/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├── export.ts         # Excel/PDF导出工具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└── format.ts         # 数字格式化（万元/百分比等）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App.tsx               # 根组件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2.3  数据流设计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单向数据流架构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用户输入（InputPanel）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参数分组：基本|收益|投资|成本|税务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└──────────────┬──────────────────────────┘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│ Zustand inputStore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计算引擎（engine/index.ts）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1. investment.ts → 投资计划数据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2. loan.ts       → 逐年还款计划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3. cost.ts       → 运营成本分项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4. profit.ts     → 利润与分配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5. cashflow.ts   → 全投资/资本金现金流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6. irr.ts        → IRR/NPV/回收期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└──────────────┬──────────────────────────┘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│ Zustand resultStore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结果渲染层（UI）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ResultPanel → 核心指标卡片（IRR/回收期）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tables/     → 六大标准财务报表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charts/     → 10个可视化图表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export/     → Excel + PDF 一键导出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第三章   参数输入模块设计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3.1  输入参数完整清单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3.1.1  基本项目参数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参考值/范围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储能装机容量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capacityMW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万kW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储能时长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储能容量（MWh）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capacityMWh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自动=MW×h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综合建设单价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unitCostYuanPerWh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0.79 元/Wh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设计寿命（运营期）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designLifeYear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项目建设周期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月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3.1.2  收益类参数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参考值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充放电模式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一充一放 / 两充两放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充电电价（含税）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chargePriceVAT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0.2815 元/kWh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放电交易电价（含税）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dischargePriceVAT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0.5868 元/kWh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年调度次数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annualCycles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 次/年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系统转换效率（充放电综合）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roundTripEff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放电深度DOD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容量保持率（首年运营）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capacityRetentionY1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96.39%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年容量衰减率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annualDegradation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约1.2%/年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调峰调频补贴收入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frequencyRevenue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 万元/年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政府补贴（首年）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govSubsidyY1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 万元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增值税即征即退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vatRefund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是/否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3.1.3  投资与融资参数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参考值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静态总投资（可手动或自动计算）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staticInvestment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15846.26 万元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资本金比例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equityRatio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20%（最低20%）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建设期贷款利率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loanRateConst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运营期贷款利率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loanRateOp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贷款年限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loanYears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还款方式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repaymentMethod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等额本息 / 等额本金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可抵扣增值税进项税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inputVAT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1443.28 万元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3.1.4  成本类参数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参考值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折旧方式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depreciationMethod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直线折旧 / 分类折旧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折旧年限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depreciationYears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折旧残值率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salvageRate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年运维费率（建设成本%，分段配置）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omRateByPeriod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见注①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年保险费率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人员定员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人均年薪（万元）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salaryPerPerson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 万元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薪酬年增长率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salaryGrowth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3%/年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土地费用（万元/年）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landFee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35.20 万元/年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注①：运维费分段参考：第1-2年0.54%（首年因建设成本取整）、第3-6年0.57%、第7-10年0.63%、第11-12年0.68%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3.1.5  税务参数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邛崃项目值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增值税税率（放电收入）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vatRateSell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销售税金及附加税率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salesSurchargeRate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12%（城建税7%+附加5%）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所得税税率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incomeTaxRate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15%（西部大开发优惠）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所得税优惠政策类型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taxPolicy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西部大开发 / 高新 / 普通25%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项目所在省份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四川（其他省份可配置折减系数）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第四章   核心计算引擎设计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4.1  TypeScript 类型定义（types/financial.ts）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核心接口定义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===== 输入参数 =====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 InputParams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projectName: string;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capacityMW: number;           // 装机容量 万kW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durationH: number;            // 储能时长 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designLifeYear: number;       // 运营期 年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staticInvestment: number;     // 静态总投资 万元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equityRatio: number;          // 资本金比例 0~1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loanRateOp: number;           // 运营期贷款利率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loanRateConst: number;        // 建设期贷款利率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loanYears: number;            // 贷款年限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repaymentMethod: 'equal_payment' | 'equal_principal';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depreciationYears: number;    // 折旧年限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salvageRate: number;          // 残值率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annualCycles: number;         // 年调度次数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roundTripEff: number;         // 转换效率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dod: number;                  // 放电深度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dischargePriceVAT: number;    // 含税放电价格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chargePriceVAT: number;       // 含税充电价格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omRateByPeriod: {years:number, rate:number}[]; // 分段运维费率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insuranceRate: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staffCount: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salaryPerPerson: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salaryGrowth: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landFee: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incomeTaxRate: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vatRefund: boolean;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inputVAT: number;             // 可抵扣进项税总额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frequencyRevenue: number;     // 调峰调频收入/年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govSubsidy: number[];         // 政府补贴逐年 [0,Y1,Y2,...]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capacityRetentionY1: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annualDegradation: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constructionMonths: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===== 逐年结果（计算期第0-12年，0=建设期）=====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 YearlyResult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year: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dischargeKWh: number;     // 年放电量 万kWh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chargeKWh: number;        // 年充电量 万kWh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revenueVAT: number;       // 含税营业收入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revenueNoVAT: number;     // 不含税营业收入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vatSales: number;         // 销项税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vatInput: number;         // 可抵扣进项税（含建设期分摊）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vatPaid: number;          // 当期缴纳增值税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vatRefundAmount: number;  // 即征即退退还金额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salesSurcharge: number;   // 销售税金及附加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depreciation: number;     // 折旧费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omCost: number;           // 运维费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laborCost: number;        // 人工成本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insurance: number;        // 保险费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interest: number;         // 利息支出（财务费用）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landFee: number;          // 土地费用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purchasedElec: number;    // 购电电费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otherCost: number;        // 其他费用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totalCost: number;        // 总成本费用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operatingCost: number;    // 经营成本（=总成本-折旧-利息）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profitTotal: number;      // 利润总额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incomeTax: number;        // 所得税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netProfit: number;        // 净利润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legalReserve: number;     // 法定公积金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distributableProfit: number; // 可供分配利润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retainedEarnings: number; // 累计未分配利润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loanBalance: number;      // 贷款余额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principalRepaid: number;  // 本年偿还本金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interestRepaid: number;   // 本年偿还利息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fcfPreTax: number;        // 全投资税前净现金流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fcfPostTax: number;       // 全投资税后净现金流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cumFCFPreTax: number;     // 累计税前净现金流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cumFCFPostTax: number;    // 累计税后净现金流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equityCF: number;         // 资本金净现金流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cumEquityCF: number;      // 累计资本金净现金流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===== 汇总计算结果 =====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 CalculationResults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yearly: YearlyResult[];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staticInvestment: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dynamicInvestment: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equityAmount: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loanAmount: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capitalizedInterest: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fixedAssetValue: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irrPreTax: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irrPostTax: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equityIRR: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paybackPreTax: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paybackPostTax: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npvPostTax: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avgRevenue: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avgProfit: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avgNetProfit: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conclusion: string;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4.2  各计算模块详解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 investment.ts — 投资计划与资金筹措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核心计算公式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建设期利息（资本化）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假设建设期贷款均匀投入（平均在期中时点），利息资本化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loanPrincipal = staticInvestment * (1 - equityRatio);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capitalizedInterest = loanPrincipal * loanRateConst * (constructionMonths/12) * 0.5;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动态总投资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dynamicInvestment = staticInvestment + capitalizedInterest;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资金筹措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equityAmount = dynamicInvestment * equityRatio;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loanAmount   = dynamicInvestment - equityAmount;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注：loanAmount = loanPrincipal + capitalizedInterest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固定资产原值（折旧计算基础）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土地购置费不计入固定资产，但土地使用税是期间费用不影响此项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fixedAssetValue = staticInvestment + capitalizedInterest;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若有不可入账费用，在此扣除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固定资产残值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salvageValue = fixedAssetValue * salvageRate;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年折旧额（直线法）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annualDepreciation = (fixedAssetValue - salvageValue) / depreciationYears;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 loan.ts — 借款还本付息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等额本息（PMT公式）与等额本金算法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===== 等额本息 =====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calcEqualPayment(principal: number, rate: number, years: number)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PMT公式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pmt = principal * rate * Math.pow(1+rate, years)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/ (Math.pow(1+rate, years) - 1);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let balance = principal;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Array.from({length: years}, (_, i) =&gt;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interest = balance * rate;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repayPrincipal = pmt - interest;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balance -= repayPrincipal;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year: i+1, pmt, interest, repayPrincipal,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balance: Math.max(0, balance) };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===== 等额本金 =====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calcEqualPrincipal(principal: number, rate: number, years: number)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annualPrincipal = principal / years;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let balance = principal;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Array.from({length: years}, (_, i) =&gt;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interest = balance * rate;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balance -= annualPrincipal;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year: i+1,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pmt: annualPrincipal + interest,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interest,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repayPrincipal: annualPrincipal,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balance: Math.max(0, balance) };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注意：贷款从第2年（运营期第1年）开始还款，共还loanYears年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建设期不还款但计息（建设期利息已资本化入动态总投资）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4.2.3  cost.ts — 运营成本费用（对应表6）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各成本分项计算逻辑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折旧费（每年相同，直线法）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depreciation[t] = annualDepreciation;  // 固定值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运维费（分段递增，邛崃模型）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omCost[t] = staticInvestment * getOmRate(t);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getOmRate(t: number): number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(t &lt;= 2) return 0.0054;      // 第1-2年运营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(t &lt;= 6) return 0.0057;      // 第3-6年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(t &lt;= 10) return 0.0063;     // 第7-10年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0.0068;                  // 第11-12年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3. 人工成本（含福利，按3%/年增长）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laborCost[t] = staffCount * salaryPerPerson * Math.pow(1+salaryGrowth, t-1);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4. 保险费（随固定资产净值递减）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netAssetValue = fixedAssetValue - annualDepreciation * 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insurance[t] = netAssetValue * insuranceRate;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5. 利息支出（来自loan.ts）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interest[t] = loanData[t-1]?.interest ?? 0;  // 运营期才有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6. 土地使用税（固定，每年相同）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landFeeAnnual[t] = landFee;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7. 购电电费（外购充电成本）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purchasedElec[t] = chargeKWh[t] * chargePriceVAT / 1.13;  // 不含税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总成本 &amp; 经营成本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totalCost[t] = depreciation[t] + omCost[t] + laborCost[t]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+ insurance[t] + interest[t] + landFeeAnnual[t]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+ purchasedElec[t] + otherCost[t];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operatingCost[t] = totalCost[t] - depreciation[t] - interest[t];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4.2.4  profit.ts — 利润与利润分配（对应表2）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利润表完整计算流程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(let t = 1; t &lt;= designLifeYear; t++)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放电量与充电量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retention = capacityRetentionY1 * Math.pow(1-annualDegradation, t-1);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capacityThisYear = capacityMWh * retention;  // 万kWh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dischargeKWh[t] = capacityThisYear * dod * roundTripEff * annualCycles;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chargeKWh[t]    = dischargeKWh[t] / roundTripEff;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含税收入（销售额）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dischargeRevVAT    = dischargeKWh[t] * dischargePriceVAT;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frequencyRev       = frequencyRevenue;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govSubsidyThisYear = govSubsidy[t] ??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revenueVAT[t] = dischargeRevVAT + frequencyRev + govSubsidyThisYear;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增值税计算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vatSales[t]    = dischargeKWh[t] * dischargePriceVAT * 13/113;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vatInput[t]    = calcVATInput(t, inputVAT, chargeKWh[t], chargePriceVAT);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建设期进项税前2年按(销项税/总销项税)分摊抵扣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vatPaid[t]     = Math.max(0, vatSales[t] - vatInput[t]);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vatRefundAmt[t]= vatRefund ? vatPaid[t] * 0.5 :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不含税营业收入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revenueNoVAT[t] = dischargeKWh[t] * (dischargePriceVAT/1.13)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+ frequencyRevenue + govSubsidyThisYear/1.13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+ vatRefundAmt[t];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salesSurcharge[t] = vatPaid[t] * 0.12;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利润与所得税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profitTotal[t] = revenueNoVAT[t] - totalCost[t] - salesSurcharge[t];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taxableProfit = profitTotal[t] + carryForwardLoss;  // 弥补以前年度亏损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incomeTax[t]   = taxableProfit &gt; 0 ? taxableProfit * incomeTaxRate :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carryForwardLoss = taxableProfit &lt; 0 ? taxableProfit :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netProfit[t]   = profitTotal[t] - incomeTax[t];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利润分配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legalReserve[t] = legalReserveAccum &lt; equityAmount * 0.5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? netProfit[t] * 0.1 :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distributableProfit[t] = netProfit[t] - legalReserve[t] + compensateLoss;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retainedEarnings[t]    = retainedEarnings[t-1] + distributableProfit[t];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4.2.5  cashflow.ts — 现金流量（表3、表4）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全投资现金流（表3）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===== 建设期（t=0）=====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inflow[0]   =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outflow[0]  = staticInvestment;   // 不含建设期利息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NCF[0]      = -staticInvestment;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===== 运营期（t=1..12）=====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inflow[t]   = revenueVAT[t];      // 含税销售收入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outflow[t]  = operatingCost[t] + vatPaid[t] + salesSurcharge[t];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NCF_pre[t]  = inflow[t] - outflow[t];   // 税前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末年额外回收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inflow[N]  += fixedAssetValue * salvageRate;  // 固定资产残值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调整所得税（税后用）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adjTax[t] = Math.max(0, (NCF_pre[t] - depreciation[t] - interest[t])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* incomeTaxRate);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NCF_post[t] = NCF_pre[t] - adjTax[t];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累计净现金流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cumNCF_pre[t]  = cumNCF_pre[t-1] + NCF_pre[t];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cumNCF_post[t] = cumNCF_post[t-1] + NCF_post[t];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资本金现金流（表4）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equityCF[0] = -equityAmount;      // 建设期投入资本金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(let t = 1; t &lt;= N; t++)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equityCF[t] = revenueVAT[t]     // 含税销售收入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operatingCost[t]  // 经营成本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vatPaid[t]        // 缴纳增值税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salesSurcharge[t] // 销售税金附加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principalRepaid[t]// 偿还借款本金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interestRepaid[t] // 偿还借款利息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- incomeTax[t];     // 所得税（用表2中实际值）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末年加残值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(t === N) equityCF[t] += fixedAssetValue * salvageRate;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注意：利息已从表6成本中扣除（财务费用），此处单独列出偿还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避免利息双重计算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4.2.6  irr.ts — IRR / NPV / 回收期算法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IRR 二分法迭代（精度 0.0001%）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calcIRR(cashflows: number[]): number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(cashflows.every(c =&gt; c &gt;= 0)) return Infinity;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let low = -0.99, high = 100.0;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npv = (r: number) =&gt;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cashflows.reduce((s, c, t) =&gt; s + c / Math.pow(1+r, t), 0);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验证区间有效性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(npv(low) &lt; 0 || npv(high) &gt; 0) return NaN;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 (let i = 0; i &lt; 500; i++)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mid = (low + high) / 2;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v   = npv(mid);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(Math.abs(v) &lt; 1e-6) return mid;  // 精度：0.0001元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(v &gt; 0) low = mid; else high = mid;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(low + high) / 2;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静态投资回收期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calcStaticPayback(cashflows: number[]): number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let cum =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 (let t = 0; t &lt; cashflows.length; t++)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(cum + cashflows[t] &gt;= 0)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return t + Math.abs(cum) / cashflows[t];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cum += cashflows[t];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Infinity;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IRR灵敏度分析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calcSensitivity(base: InputParams, baseIRR: number)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params = ['dischargePriceVAT','staticInvestment',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'annualCycles','chargePriceVAT','omRate','loanRateOp'];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params.map(key =&gt;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up   = calcIRR(runEngine({...base, [key]: base[key]*1.1}).fcfPostTax);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down = calcIRR(runEngine({...base, [key]: base[key]*0.9}).fcfPostTax);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key, deltaUp: up-baseIRR, deltaDown: down-baseIRR };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}).sort((a,b) =&gt; Math.abs(b.deltaUp-b.deltaDown)-Math.abs(a.deltaUp-a.deltaDown));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第五章   六大财务报表组件实现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六大财务报表以标签页形式展示，每个报表为独立 React 组件。数据来源统一从 resultStore 获取。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表1：投资计划与资金筹措表（InvestmentTable.tsx）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20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合计（万元）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建设期（第1年）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运营期1-12年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总投资规模（动态）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=2+3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全部投入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建设投资（静态）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静态总投资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建设期利息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资本化利息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资金筹措合计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=5+6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资本金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=4×比例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长期借款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=4×(1-比例)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偿还长期借款本金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按年合计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逐年分摊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偿还长期借款利息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按年合计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逐年递减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表2：利润与利润分配表（ProfitTable.tsx）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计算说明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销售收入（含税）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放电收入+调峰补贴+政府补贴+增值税退税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不含税营业收入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不含税放电收入+调峰+退税（不含税）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增值税及附加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明细：销项税/进项税/缴纳增值税/销售附加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总成本费用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来自表6（每年合计）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利润总额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不含税营业收入 - 总成本 - 销售税金附加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所得税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利润总额 × 税率（亏损年度为0）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净利润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利润总额 - 所得税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法定公积金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净利润 × 10%（累计≤50%注册资本）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可供分配利润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净利润 - 法定公积金 ± 弥补亏损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累计未分配利润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前年累计 + 本年可供分配利润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表3：项目投资现金流量表（ProjectCFTable.tsx）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22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建设期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运营期各年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末年附加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现金流入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含税销售收入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+固定资产残值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现金流出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静态总投资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经营成本+增值税+销售附加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税前净现金流（NCF）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−总投资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1 − 2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累计税前NCF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调整所得税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简化所得税估算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税后净现金流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−总投资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3 − 5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累计税后NCF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全投资IRR（税前/税后）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由对应现金流序列计算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投资回收期（税前/税后）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由累计NCF序列计算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表4：资本金现金流量表（EquityCFTable.tsx）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3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建设期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运营期各年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现金流入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含税销售收入（同表3）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现金流出合计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资本金投入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经营+增值税+附加+还本+还息+所得税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资本金投入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资本金额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借款本金偿还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来自表5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借款利息偿还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来自表5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经营成本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来自表6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增值税及附加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缴纳增值税 + 销售附加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所得税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来自表2（实际值）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净现金流量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−资本金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1 − 2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累计净现金流量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资本金IRR（税后）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由净现金流序列计算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表5：借款还本付息表（LoanTable.tsx）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600"/>
        <w:gridCol w:w="1700"/>
        <w:gridCol w:w="27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建设期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运营期各年（10年还款期）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年初借款余额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上年末余额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本年新增借款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贷款总额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全部新增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本年应计利息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总利息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资本化（入总投资）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余额 × 利率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本年还本付息合计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=本金+利息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PMT（等额本息）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本年偿还本金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贷款本金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逐年增加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本年偿还利息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利息总额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逐年减少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期末借款余额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逐年递减至0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表6：运营成本费用表（CostTable.tsx）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600"/>
        <w:gridCol w:w="4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合计（万元）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计算方法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折旧费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固定资产原值×(1-残值率)÷折旧年限，直线法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运维费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建设成本×分段费率（0.54%~0.68%）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人工成本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定员×年薪×(1+3%)^(年-1)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保险费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固定资产净值×0.15%，逐年递减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利息支出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来自表5，逐年递减至第10年后为0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土地使用税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固定年金（35.20万/年）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购电电费（外购）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充电量×充电不含税价格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其他应列未列费用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手动填写，默认0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总成本费用（合计）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1+2+3+4+5+6+7+7.1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经营成本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12年合计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8 - 1（折旧）- 5（利息）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第六章   可视化图表设计规范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6.1  图表模块总览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2600"/>
        <w:gridCol w:w="1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图表名称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主要数据维度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总投资构成饼图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设备费/建安/前期/其他/业主费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投资分析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资金筹措结构图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 vs 长期借款（1年）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投资分析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年度收益趋势线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营业收入/净利润逐年对比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收益分析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运营成本构成图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Stacked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折旧/运维/人工/购电/利息等分层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成本分析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现金流瀑布图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Waterfall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全投资税后NCF+累计NCF+回收期标注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现金流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净利润分配图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法定公积金/弥补亏损/可供分配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利润分配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还本付息计划图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Grouped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每年本金/利息对比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融资分析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IRR灵敏度龙卷风图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6个关键参数±10%对IRR影响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风险分析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投资回收期标注图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Line+Ref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累计净现金流+回收期竖线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决策支持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电价电量双轴图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Line+Bar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年放电量（柱）+ 电价（折线）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运营参数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6.2  关键图表实现代码片段</w:t>
      </w:r>
    </w:p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C05 现金流瀑布图（ComposedChart模拟）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Recharts瀑布图实现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数据预处理：计算每条柱的不可见底座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buildWaterfallData(ncf: number[])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let cum =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ncf.map((v, t) =&gt;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prevCum = cum;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cum += v;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base: 柱子从哪里开始（负数时从cum+v到cum）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base = v &gt;= 0 ? prevCum : cum;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absV = Math.abs(v);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year: `Y${t}`, base, absV, isPositive: v &gt;= 0,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cumulative: cum, raw: v };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组件渲染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&lt;ComposedChart data={wfData} width={700} height={400}&gt;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&lt;XAxis dataKey='year'/&gt;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&lt;YAxis yAxisId='left'/&gt;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&lt;YAxis yAxisId='right' orientation='right'/&gt;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{/* 透明底座 */}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&lt;Bar yAxisId='left' dataKey='base' fill='transparent' stackId='wf'/&gt;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{/* 实际柱体，颜色由正负决定 */}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&lt;Bar yAxisId='left' dataKey='absV' stackId='wf'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label={{position:'top', formatter:v=&gt;v.toFixed(0)}}&gt;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{wfData.map((e,i) =&gt; &lt;Cell fill={e.isPositive ? '#1A6B3A' : '#C55A11'}/&gt;)}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&lt;/Bar&gt;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{/* 累计现金流折线 */}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&lt;Line yAxisId='right' dataKey='cumulative' stroke='#E67E22'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strokeWidth={2} dot={false}/&gt;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{/* 回收期参考线 */}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&lt;ReferenceLine yAxisId='right' y={0} stroke='#888' strokeDasharray='4 4'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label={{value:'回收期', position:'insideRight'}}/&gt;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&lt;/ComposedChart&gt;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C08 IRR灵敏度龙卷风图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龙卷风图数据与渲染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数据格式（按影响范围降序排列）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tornadoData = [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param: '放电电价', up: +0.82, down: -0.79 },  // 单位：IRR变化百分点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param: '总投资规模', up: -0.65, down: +0.68 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param: '年调度次数', up: +0.41, down: -0.40 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param: '充电电价', up: -0.28, down: +0.29 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param: '运维费率', up: -0.15, down: +0.15 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param: '贷款利率', up: -0.09, down: +0.09 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渲染：双向Bar（正方向=+10%参数时IRR变化）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&lt;BarChart data={tornadoData} layout='vertical'&gt;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&lt;XAxis type='number' domain={[-1, 1]}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tickFormatter={v =&gt; `${v&gt;0?'+':''}${v.toFixed(2)}%`}/&gt;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&lt;YAxis type='category' dataKey='param' width={80}/&gt;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&lt;ReferenceLine x={0} stroke='#333'/&gt;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&lt;Bar dataKey='up'   fill='#1A6B3A' name='+10%参数'/&gt;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&lt;Bar dataKey='down' fill='#C55A11' name='-10%参数'/&gt;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&lt;Legend/&gt;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&lt;Tooltip formatter={(v) =&gt; `IRR变化 ${v&gt;0?'+':''}${v.toFixed(2)}%`}/&gt;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&lt;/BarChart&gt;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第七章   UI/UX 设计规范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7.1  页面整体布局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三栏式布局结构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⚡ 储能投资分析系统    [方案管理] [导出Excel] [导出PDF]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├──────────────┬───────────────────────────────────┤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参数输入面板  │  结果展示区（标签页切换）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（340px）    │                  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│  ① 核心财务指标  ② 财务报表  ③ 图表│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▶ 基本参数   │                  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▶ 收益参数   │  [核心指标卡片] 或 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▶ 投资参数   │  [六大报表标签] 或 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▶ 成本参数   │  [10图表网格]     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▶ 税务参数   │                  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│                  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[▶ 立即计算] │                                   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7.2  核心财务指标卡片设计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展示内容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颜色逻辑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全投资IRR（税前）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X.XX%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绿(≥8%) / 黄(6-8%) / 红(&lt;6%)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全投资IRR（税后）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X.XX%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资本金IRR（税后）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X.XX%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绿(≥15%) / 黄(12-15%) / 红(&lt;12%)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静态回收期（税前）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X.X 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绿(≤8) / 黄(8-10) / 红(&gt;10)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动态回收期（税后）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X.X 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项目总投资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XX,XXX 万元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灰色（中性）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年均净利润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XXX 万元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蓝色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综合评价结论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优先 / 一般 / 不建议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大字彩色徽章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7.3  方案管理功能设计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方案存储与对比功能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方案数据结构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 SavedProject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id: string;                  // UUID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name: string;               // 方案名称（可编辑）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createdAt: string;          // ISO格式时间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tags: string[];             // 标签（如：高IRR/低成本）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inputParams: InputParams;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keyResults: {               // 仅存关键指标，节省空间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irrPreTax: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equityIRR: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paybackPreTax: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avgRevenue: number;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功能清单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保存当前方案（自动命名：项目名+日期）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浏览历史方案列表（最多20个）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加载历史方案到输入面板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选择2-3个方案并排对比（关键指标对比表）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删除方案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导入/导出方案JSON文件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第八章   导出功能实现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8.1  Excel 导出（SheetJS）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Excel导出实现（utils/export.ts）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* as XLSX from 'xlsx';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function exportToExcel(r: CalculationResults, p: InputParams)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wb = XLSX.utils.book_new();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工作表1：财务指标汇总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summaryData = [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['项目名称', p.projectName],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['装机容量', `${p.capacityMW} 万kW × ${p.durationH}h`],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['静态总投资', `${r.staticInvestment.toFixed(2)} 万元`],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['全投资IRR（税前）', `${(r.irrPreTax*100).toFixed(2)}%`],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['资本金IRR', `${(r.equityIRR*100).toFixed(2)}%`],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['投资回收期（税前）', `${r.paybackPreTax.toFixed(2)} 年`],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['评价结论', r.conclusion],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XLSX.utils.book_append_sheet(wb,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XLSX.utils.aoa_to_sheet(summaryData), '财务指标汇总');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工作表2~7：六大财务报表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tables = [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['表1-投资计划与资金筹措', buildInvestmentAoA(r)],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['表2-利润与利润分配',     buildProfitAoA(r)],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['表3-项目现金流量',       buildProjectCFAoA(r)],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['表4-资本金现金流量',     buildEquityCFAoA(r)],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['表5-借款还本付息',       buildLoanAoA(r)],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['表6-运营成本费用',       buildCostAoA(r)],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tables.forEach(([name, data]) =&gt;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ws = XLSX.utils.aoa_to_sheet(data as any[][]);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applyHeaderStyle(ws);  // 标题行蓝底白字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XLSX.utils.book_append_sheet(wb, ws, name as string);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XLSX.writeFile(wb,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`${p.projectName}_效益测算_${new Date().toLocaleDateString('zh-CN')}.xlsx`);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8.2  PDF 导出（html2canvas + jsPDF）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PDF截图式导出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html2canvas from 'html2canvas';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jsPDF from 'jspdf';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async function exportToPDF(projectName: string)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1. 隐藏交互元素（按钮/输入框），仅显示报告内容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document.getElementById('report-view')!.style.display = 'block';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document.getElementById('input-panel')!.style.display = 'none';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2. 截图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canvas = await html2canvas(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document.getElementById('report-view')!,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scale: 2,          // 高清晰度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useCORS: true,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backgroundColor: '#ffffff',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3. 分页处理（A4 尺寸）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pdf = new jsPDF('p', 'mm', 'a4');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pageWidth  = pdf.internal.pageSize.getWidth();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pageHeight = pdf.internal.pageSize.getHeight();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ratio = pageWidth / canvas.width;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totalHeight = canvas.height * ratio;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let y = 0;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while (y &lt; totalHeight)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(y &gt; 0) pdf.addPage();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pdf.addImage(canvas.toDataURL('image/png'), 'PNG',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0, -y, pageWidth, totalHeight);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 += pageHeight;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4. 恢复UI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document.getElementById('input-panel')!.style.display = 'block';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pdf.save(`${projectName}_分析报告.pdf`);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第九章   开发实施计划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9.1  阶段拆解与工期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33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核心工作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关键交付物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
基础搭建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Vite+React+TS脚手架、Zustand状态、shadcn/ui集成、路由、整体布局框架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可运行空框架，布局骨架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
输入面板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5组参数输入组件、实时校验、工具提示、分组折叠展开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InputPanel全部字段可交互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
计算引擎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6个计算模块（investment/loan/cost/profit/cashflow/irr）、单元测试、与Excel数值对比验证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engine/目录，含Jest测试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
六大报表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6个表格组件、逐行逐列渲染、千分位格式化、行高亮区分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tables/6个完整组件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
图表面板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10个图表组件（Recharts）、灵敏度分析、图表联动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charts/10个图表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
导出功能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Excel导出（6张表+汇总）、PDF导出（报告模式）、方案保存/加载/对比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完整导出链路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
整合优化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全链路联调、UI细节优化、响应式适配、性能优化（useMemo/Worker）、最终测试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完整可交付产品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合  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约24天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完整系统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9.2  计算精度验证要求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必须使用邛崃项目（100MW/200MWh）参数作为基准用例，与 Excel 模型逐项对比验证：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全投资IRR（税前）= 6.38%，误差 &lt; 0.01%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资本金IRR = 17.97%，误差 &lt; 0.01%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投资回收期（税前）= 9.20年，误差 &lt; 0.1年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逐年净利润对比：每年误差 &lt; 1元（浮点精度）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12年借款还本付息总额 = 15,039.66万元，误差 &lt; 0.01万元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9.3  重要开发注意事项</w:t>
      </w:r>
    </w:p>
    <w:p>
      <w:pPr>
        <w:spacing w:before="8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开发关键提示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【1. 增值税抵扣时序】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建设期进项税（1443万）在前2-3年运营期内分批抵扣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分摊方式：按各年销项税额占前N年销项总额的比例分配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前期缴纳增值税可能为0（进项 &gt; 销项）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【2. 亏损弥补与所得税】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前期因大额折旧+利息，通常出现亏损（利润总额&lt;0）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亏损可向后5年弥补，弥补期内应税所得=利润总额+可弥补亏损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carryForwardLoss 需跨年传递，注意状态管理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【3. 利息的两面性（避免重复计算）】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表6 总成本费用中已包含利息支出（财务费用）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表4 资本金现金流出中「偿还利息」是还款行为（现金实际流出）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表2 利润表不包含还本（仅利息影响利润）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表3 全投资现金流的流出：经营成本+增值税+附加（不含还款）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【4. 年份下标约定（代码中统一执行）】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year[0] = 建设期（第1年，仅投资流出）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year[1..12] = 运营期第1~12年（对应Excel表格中第2~13列）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数组长度 = designLifeYear + 1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【5. 容量衰减与充放电量】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邛崃项目容量衰减按年逐步递减（首年96.39%，末年83.66%）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放电量衰减直接影响收入，充电量变化影响成本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灵敏度分析时，容量衰减变化会影响全期收益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【6. 分类折旧处理】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储能系统（9000万设备费+600万安装）→ 12年，折旧率4.75%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升压站变压器（1800万）→ 12年，折旧率5.28%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220kV送出线路（300万设备+200万建安）→ 12年，折旧率3.17%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三类资产分别计算后汇总 = 分类折旧总额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hd w:fill="1E4D8C" w:val="clear"/>
        <w:spacing w:before="360" w:after="2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第十章   附录：关键公式与评价标准</w:t>
      </w:r>
    </w:p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A.  年度电量衰减模型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容量保持率与电量计算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容量保持率（逐年衰减）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retentionRate[t] = retentionY1 * Math.pow(1 - annualDegradation, t-1)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t=1(运营第1年): 96.39%   t=12(运营第12年): 83.66%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年放电量（万kWh）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capacityMWh = capacityMW × durationH = 10 × 2 = 20 万kWh（额定）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availableEnergy[t] = capacityMWh × retentionRate[t] × dod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dischargeKWh[t] = availableEnergy[t] × roundTripEff × annualCycles / (24/durationH / durationH)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简化：dischargeKWh[t] = capacityMWh × retentionRate[t] × roundTripEff × dod × annualCycles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年充电量（万kWh）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chargeKWh[t] = dischargeKWh[t] / roundTripEff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B.  IRR 评价标准参照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评级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数值范围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行动建议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全投资IRR（税前）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优秀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强烈推荐投资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全投资IRR（税前）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良好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 ~ 10%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推荐投资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全投资IRR（税前）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 ~ 8%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谨慎投资，关注风险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全投资IRR（税前）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较差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不建议投资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资本金IRR（税后）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优秀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强烈推荐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资本金IRR（税后）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良好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 ~ 15%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资本金IRR（税后）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 ~ 12%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谨慎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资本金IRR（税后）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较差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8%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不建议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投资回收期（税前）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优秀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8 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强烈推荐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投资回收期（税前）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良好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~ 10 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投资回收期（税前）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~ 12 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谨慎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投资回收期（税前）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较差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12 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不建议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C.  评价结论自动生成规则（参考原网页工具）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generateConclusion() 函数逻辑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generateConclusion(r: CalculationResults, p: InputParams): string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irrPct = (r.irrPreTax * 100).toFixed(2);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equityIrrPct = (r.equityIRR * 100).toFixed(2);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payback = r.paybackPreTax.toFixed(1);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revenue = r.avgRevenue.toFixed(0);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profit  = r.avgProfit.toFixed(0);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netProfit = r.avgNetProfit.toFixed(0);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let quality: string;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let standard: string;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(r.irrPreTax &gt;= 0.08)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quality = '较好'; standard = '满足优先投资收益率标准';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else if (r.irrPreTax &gt;= 0.06)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quality = '一般'; standard = '满足一般投资收益率标准';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else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quality = '较差'; standard = '不满足优先投资收益率标准';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`项目运营期${p.designLifeYear}年年均营业收入${revenue}万元，` +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`年均利润总额${profit}万元，` +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`年均净利润${netProfit}万元，` +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`全投资财务内部收益率${irrPct}%，` +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`资本金财务内部收益率${equityIrrPct}%，` +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`投资回收期${payback}年。` +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`综上，项目收益情况${quality}，${standard}。`;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D.  建议npm依赖包清单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包名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版本参考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react-dom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^18.0.0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类型安全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^5.0.0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构建工具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^5.0.0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状态管理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^4.4.0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图表库（主）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^2.10.0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高级图表辅助（灵敏度图）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^7.9.0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^3.4.0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@radix-ui/react-tabs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shadcn/ui标签组件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@radix-ui/react-tooltip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工具提示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SheetJS Excel导出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^0.18.0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html2canvas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PDF截图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^1.4.0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PDF生成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^2.5.0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图标库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^0.383.0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clsx + tailwind-merge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条件class工具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</w:tr>
    </w:tbl>
    <w:p>
      <w:pPr>
        <w:spacing w:before="160" w:after="0"/>
      </w:pPr>
    </w:p>
    <w:p>
      <w:pPr>
        <w:pBdr>
          <w:bottom w:val="single" w:color="CCCCCC" w:sz="3"/>
        </w:pBdr>
        <w:spacing w:before="200" w:after="200"/>
      </w:pPr>
    </w:p>
    <w:p>
      <w:pPr>
        <w:spacing w:before="80" w:after="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——  文档完  ——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本文档涵盖完整系统架构、计算引擎逻辑、六大财务表行结构、10个图表设计及24天实施计划，可直接用于启动开发。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— 第 </w:t>
    </w:r>
    <w:pgNum/>
    <w:r>
      <w:rPr>
        <w:rFonts w:ascii="Arial" w:cs="Arial" w:eastAsia="Arial" w:hAnsi="Arial"/>
        <w:color w:val="888888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1E4D8C"/>
        <w:sz w:val="18"/>
        <w:szCs w:val="18"/>
      </w:rPr>
      <w:t xml:space="preserve">储能项目投资效益测算系统  |  完整开发技术文档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2026-03-12T03:22:24.889Z</dcterms:created>
  <dcterms:modified xsi:type="dcterms:W3CDTF">2026-03-12T03:22:24.889Z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