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A1521E" w14:textId="77777777" w:rsidR="006C2525" w:rsidRPr="006C2525" w:rsidRDefault="006C2525" w:rsidP="006C25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C2525">
        <w:rPr>
          <w:rFonts w:ascii="Times New Roman" w:eastAsia="Times New Roman" w:hAnsi="Times New Roman" w:cs="Times New Roman"/>
          <w:b/>
          <w:bCs/>
          <w:kern w:val="36"/>
          <w:sz w:val="48"/>
          <w:szCs w:val="48"/>
          <w14:ligatures w14:val="none"/>
        </w:rPr>
        <w:t>Research Protocol</w:t>
      </w:r>
    </w:p>
    <w:p w14:paraId="47AC8A0C" w14:textId="77777777" w:rsidR="000B6872" w:rsidRDefault="006C2525" w:rsidP="000B6872">
      <w:pPr>
        <w:spacing w:before="100" w:beforeAutospacing="1" w:after="0"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Touch-</w:t>
      </w:r>
      <w:proofErr w:type="spellStart"/>
      <w:r w:rsidRPr="006C2525">
        <w:rPr>
          <w:rFonts w:ascii="Times New Roman" w:eastAsia="Times New Roman" w:hAnsi="Times New Roman" w:cs="Times New Roman"/>
          <w:b/>
          <w:bCs/>
          <w:kern w:val="0"/>
          <w:sz w:val="36"/>
          <w:szCs w:val="36"/>
          <w14:ligatures w14:val="none"/>
        </w:rPr>
        <w:t>Anored</w:t>
      </w:r>
      <w:proofErr w:type="spellEnd"/>
      <w:r w:rsidRPr="006C2525">
        <w:rPr>
          <w:rFonts w:ascii="Times New Roman" w:eastAsia="Times New Roman" w:hAnsi="Times New Roman" w:cs="Times New Roman"/>
          <w:b/>
          <w:bCs/>
          <w:kern w:val="0"/>
          <w:sz w:val="36"/>
          <w:szCs w:val="36"/>
          <w14:ligatures w14:val="none"/>
        </w:rPr>
        <w:t xml:space="preserve"> Playback and Voice-Controlled Braille Music Access: Usability, Input Methods, and Interaction Customization</w:t>
      </w:r>
    </w:p>
    <w:p w14:paraId="06579739" w14:textId="20769728" w:rsidR="006C2525" w:rsidRPr="006C2525" w:rsidRDefault="006C2525" w:rsidP="000B6872">
      <w:pPr>
        <w:spacing w:before="100" w:beforeAutospacing="1" w:after="0"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Date:</w:t>
      </w:r>
      <w:r w:rsidRPr="006C2525">
        <w:rPr>
          <w:rFonts w:ascii="Times New Roman" w:eastAsia="Times New Roman" w:hAnsi="Times New Roman" w:cs="Times New Roman"/>
          <w:kern w:val="0"/>
          <w14:ligatures w14:val="none"/>
        </w:rPr>
        <w:t xml:space="preserve"> October 14, 2026</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Institution:</w:t>
      </w:r>
      <w:r w:rsidRPr="006C2525">
        <w:rPr>
          <w:rFonts w:ascii="Times New Roman" w:eastAsia="Times New Roman" w:hAnsi="Times New Roman" w:cs="Times New Roman"/>
          <w:kern w:val="0"/>
          <w14:ligatures w14:val="none"/>
        </w:rPr>
        <w:t xml:space="preserve"> Berklee College of Music</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Principal Investigator:</w:t>
      </w:r>
      <w:r w:rsidRPr="006C2525">
        <w:rPr>
          <w:rFonts w:ascii="Times New Roman" w:eastAsia="Times New Roman" w:hAnsi="Times New Roman" w:cs="Times New Roman"/>
          <w:kern w:val="0"/>
          <w14:ligatures w14:val="none"/>
        </w:rPr>
        <w:t xml:space="preserve"> [Faculty advisor’s name, title, department, email</w:t>
      </w:r>
      <w:r>
        <w:rPr>
          <w:rFonts w:ascii="Times New Roman" w:eastAsia="Times New Roman" w:hAnsi="Times New Roman" w:cs="Times New Roman"/>
          <w:kern w:val="0"/>
          <w14:ligatures w14:val="none"/>
        </w:rPr>
        <w:t>]</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Student Researcher:</w:t>
      </w:r>
      <w:r w:rsidRPr="006C2525">
        <w:rPr>
          <w:rFonts w:ascii="Times New Roman" w:eastAsia="Times New Roman" w:hAnsi="Times New Roman" w:cs="Times New Roman"/>
          <w:kern w:val="0"/>
          <w14:ligatures w14:val="none"/>
        </w:rPr>
        <w:t xml:space="preserve"> Jinlan Zhao, Electronic Production and Design</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Student Researcher Contact:</w:t>
      </w:r>
      <w:r w:rsidRPr="006C2525">
        <w:rPr>
          <w:rFonts w:ascii="Times New Roman" w:eastAsia="Times New Roman" w:hAnsi="Times New Roman" w:cs="Times New Roman"/>
          <w:kern w:val="0"/>
          <w14:ligatures w14:val="none"/>
        </w:rPr>
        <w:t xml:space="preserve"> [Berklee email]</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Research Location:</w:t>
      </w:r>
      <w:r w:rsidRPr="006C2525">
        <w:rPr>
          <w:rFonts w:ascii="Times New Roman" w:eastAsia="Times New Roman" w:hAnsi="Times New Roman" w:cs="Times New Roman"/>
          <w:kern w:val="0"/>
          <w14:ligatures w14:val="none"/>
        </w:rPr>
        <w:t xml:space="preserve"> [Accessible room and building], Berklee College of Music, Boston, Massachusetts</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Recruitment Start:</w:t>
      </w:r>
      <w:r w:rsidRPr="006C2525">
        <w:rPr>
          <w:rFonts w:ascii="Times New Roman" w:eastAsia="Times New Roman" w:hAnsi="Times New Roman" w:cs="Times New Roman"/>
          <w:kern w:val="0"/>
          <w14:ligatures w14:val="none"/>
        </w:rPr>
        <w:t xml:space="preserve"> After written IRB approval; anticipated date: </w:t>
      </w:r>
      <w:r w:rsidR="006927DB">
        <w:rPr>
          <w:rFonts w:ascii="Times New Roman" w:eastAsia="Times New Roman" w:hAnsi="Times New Roman" w:cs="Times New Roman"/>
          <w:kern w:val="0"/>
          <w14:ligatures w14:val="none"/>
        </w:rPr>
        <w:t xml:space="preserve">November 15, 2026. </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Anticipated Research Completion:</w:t>
      </w:r>
      <w:r w:rsidRPr="006C2525">
        <w:rPr>
          <w:rFonts w:ascii="Times New Roman" w:eastAsia="Times New Roman" w:hAnsi="Times New Roman" w:cs="Times New Roman"/>
          <w:kern w:val="0"/>
          <w14:ligatures w14:val="none"/>
        </w:rPr>
        <w:t xml:space="preserve"> </w:t>
      </w:r>
      <w:r w:rsidR="00F505C5">
        <w:rPr>
          <w:rFonts w:ascii="Times New Roman" w:eastAsia="Times New Roman" w:hAnsi="Times New Roman" w:cs="Times New Roman"/>
          <w:kern w:val="0"/>
          <w14:ligatures w14:val="none"/>
        </w:rPr>
        <w:t xml:space="preserve">December 12, 2026. </w:t>
      </w:r>
    </w:p>
    <w:p w14:paraId="69511C41"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 Purpose and Research Questions</w:t>
      </w:r>
    </w:p>
    <w:p w14:paraId="67B5CC7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This research evaluates an interactive system intended to support blind and low-vision musicians who read embossed braille music. The system identifies the measure selected by a reader’s finger and provides access to synchronized musical playback. Participants can request a Full Mix or selected instrumental Stems, specify a measure range, and resolve ambiguous voice requests.</w:t>
      </w:r>
    </w:p>
    <w:p w14:paraId="4470FB4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research comprises three related but separately analyzed studies.</w:t>
      </w:r>
    </w:p>
    <w:p w14:paraId="3D6549D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Study 1: Formative Usability.</w:t>
      </w:r>
      <w:r w:rsidRPr="006C2525">
        <w:rPr>
          <w:rFonts w:ascii="Times New Roman" w:eastAsia="Times New Roman" w:hAnsi="Times New Roman" w:cs="Times New Roman"/>
          <w:kern w:val="0"/>
          <w14:ligatures w14:val="none"/>
        </w:rPr>
        <w:t xml:space="preserve"> How do braille music readers use touch-anchored playback and voice-selected Stems? What barriers arise in selecting measures, issuing requests, understanding system behavior, and recovering from errors?</w:t>
      </w:r>
    </w:p>
    <w:p w14:paraId="71CE453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Study 2: Buttons versus Gestures.</w:t>
      </w:r>
      <w:r w:rsidRPr="006C2525">
        <w:rPr>
          <w:rFonts w:ascii="Times New Roman" w:eastAsia="Times New Roman" w:hAnsi="Times New Roman" w:cs="Times New Roman"/>
          <w:kern w:val="0"/>
          <w14:ligatures w14:val="none"/>
        </w:rPr>
        <w:t xml:space="preserve"> How do physical buttons and camera-recognized hand gestures compare for equivalent Play and Stop operations? How do these methods affect task completion, unintended activation, interruption of tactile reading, reorientation, comfort, and preference?</w:t>
      </w:r>
    </w:p>
    <w:p w14:paraId="114180A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Study 3: Fixed Defaults versus User Customization.</w:t>
      </w:r>
      <w:r w:rsidRPr="006C2525">
        <w:rPr>
          <w:rFonts w:ascii="Times New Roman" w:eastAsia="Times New Roman" w:hAnsi="Times New Roman" w:cs="Times New Roman"/>
          <w:kern w:val="0"/>
          <w14:ligatures w14:val="none"/>
        </w:rPr>
        <w:t xml:space="preserve"> Which interaction rules do participants understand and prefer, and which should be configurable? Does access to settings provide useful control, introduce additional effort or confusion, or produce different benefits for different rules?</w:t>
      </w:r>
    </w:p>
    <w:p w14:paraId="18F2743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studies are exploratory. They are intended to identify usability barriers and inform design decisions. They do not evaluate clinical outcomes, establish perceptual thresholds, or demonstrate improvements in long-term musical learning.</w:t>
      </w:r>
    </w:p>
    <w:p w14:paraId="286250FB"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lastRenderedPageBreak/>
        <w:t>2. Methodological Rationale</w:t>
      </w:r>
    </w:p>
    <w:p w14:paraId="5EC97A9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protocol combines task-based usability evaluation, controlled within-participant comparisons, and semi-structured interviews.</w:t>
      </w:r>
    </w:p>
    <w:p w14:paraId="7270985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Related psychoacoustic research has compared systems within participants while counterbalancing presentation order [1]. Music accessibility research has combined comparison conditions with interviews in a small specialist population [2]. Gesture accessibility research supports evaluating preference and observed performance separately [3]. Research on adaptable interfaces similarly distinguishes actual customization behavior, measured performance, and perceived usefulness [4].</w:t>
      </w:r>
    </w:p>
    <w:p w14:paraId="649054BC" w14:textId="2986206F"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Listening-test principles</w:t>
      </w:r>
      <w:r w:rsidR="00CC6103">
        <w:rPr>
          <w:rFonts w:ascii="Times New Roman" w:eastAsia="Times New Roman" w:hAnsi="Times New Roman" w:cs="Times New Roman"/>
          <w:kern w:val="0"/>
          <w14:ligatures w14:val="none"/>
        </w:rPr>
        <w:t xml:space="preserve">, </w:t>
      </w:r>
      <w:r w:rsidRPr="006C2525">
        <w:rPr>
          <w:rFonts w:ascii="Times New Roman" w:eastAsia="Times New Roman" w:hAnsi="Times New Roman" w:cs="Times New Roman"/>
          <w:kern w:val="0"/>
          <w14:ligatures w14:val="none"/>
        </w:rPr>
        <w:t>including familiarization, consistent reproduction equipment, manageable stimulus duration, and breaks</w:t>
      </w:r>
      <w:r w:rsidR="00CC6103">
        <w:rPr>
          <w:rFonts w:ascii="Times New Roman" w:eastAsia="Times New Roman" w:hAnsi="Times New Roman" w:cs="Times New Roman"/>
          <w:kern w:val="0"/>
          <w14:ligatures w14:val="none"/>
        </w:rPr>
        <w:t xml:space="preserve">, </w:t>
      </w:r>
      <w:r w:rsidRPr="006C2525">
        <w:rPr>
          <w:rFonts w:ascii="Times New Roman" w:eastAsia="Times New Roman" w:hAnsi="Times New Roman" w:cs="Times New Roman"/>
          <w:kern w:val="0"/>
          <w14:ligatures w14:val="none"/>
        </w:rPr>
        <w:t>inform the audio procedures [5]. The present research is not a MUSHRA assessment: participants evaluate interaction behavior rather than audio fidelity.</w:t>
      </w:r>
    </w:p>
    <w:p w14:paraId="100F8D2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Sample size is justified by the exploratory objectives, repeated observations of each participant, and access to a specialized population. It is not based on an assumed universal minimum or a confirmatory power calculation [6].</w:t>
      </w:r>
    </w:p>
    <w:p w14:paraId="3FA62D37"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3. System and Research Materials</w:t>
      </w:r>
    </w:p>
    <w:p w14:paraId="652164FB" w14:textId="2A0A235E"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prototype comprises embossed braille music, a</w:t>
      </w:r>
      <w:r w:rsidR="004031E3">
        <w:rPr>
          <w:rFonts w:ascii="Times New Roman" w:eastAsia="Times New Roman" w:hAnsi="Times New Roman" w:cs="Times New Roman"/>
          <w:kern w:val="0"/>
          <w14:ligatures w14:val="none"/>
        </w:rPr>
        <w:t xml:space="preserve"> web </w:t>
      </w:r>
      <w:r w:rsidRPr="006C2525">
        <w:rPr>
          <w:rFonts w:ascii="Times New Roman" w:eastAsia="Times New Roman" w:hAnsi="Times New Roman" w:cs="Times New Roman"/>
          <w:kern w:val="0"/>
          <w14:ligatures w14:val="none"/>
        </w:rPr>
        <w:t xml:space="preserve">camera, finger and page tracking, physical controls, </w:t>
      </w:r>
      <w:r w:rsidR="004031E3">
        <w:rPr>
          <w:rFonts w:ascii="Times New Roman" w:eastAsia="Times New Roman" w:hAnsi="Times New Roman" w:cs="Times New Roman"/>
          <w:kern w:val="0"/>
          <w14:ligatures w14:val="none"/>
        </w:rPr>
        <w:t>a computer-built-in microphone</w:t>
      </w:r>
      <w:r w:rsidRPr="006C2525">
        <w:rPr>
          <w:rFonts w:ascii="Times New Roman" w:eastAsia="Times New Roman" w:hAnsi="Times New Roman" w:cs="Times New Roman"/>
          <w:kern w:val="0"/>
          <w14:ligatures w14:val="none"/>
        </w:rPr>
        <w:t>, local speech recognition, a local language parser, and a Max/MSP playback system.</w:t>
      </w:r>
    </w:p>
    <w:p w14:paraId="4D2BCE65" w14:textId="1C2A87CF"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The current development reports describe Whisper-based speech recognition, a Qwen2.5:7b parser running locally through </w:t>
      </w:r>
      <w:proofErr w:type="spellStart"/>
      <w:r w:rsidRPr="006C2525">
        <w:rPr>
          <w:rFonts w:ascii="Times New Roman" w:eastAsia="Times New Roman" w:hAnsi="Times New Roman" w:cs="Times New Roman"/>
          <w:kern w:val="0"/>
          <w14:ligatures w14:val="none"/>
        </w:rPr>
        <w:t>Ollama</w:t>
      </w:r>
      <w:proofErr w:type="spellEnd"/>
      <w:r w:rsidRPr="006C2525">
        <w:rPr>
          <w:rFonts w:ascii="Times New Roman" w:eastAsia="Times New Roman" w:hAnsi="Times New Roman" w:cs="Times New Roman"/>
          <w:kern w:val="0"/>
          <w14:ligatures w14:val="none"/>
        </w:rPr>
        <w:t xml:space="preserve">, and physical push-to-talk recording. Holding </w:t>
      </w:r>
      <w:r w:rsidR="004031E3">
        <w:rPr>
          <w:rFonts w:ascii="Times New Roman" w:eastAsia="Times New Roman" w:hAnsi="Times New Roman" w:cs="Times New Roman"/>
          <w:kern w:val="0"/>
          <w14:ligatures w14:val="none"/>
        </w:rPr>
        <w:t xml:space="preserve">the </w:t>
      </w:r>
      <w:r w:rsidRPr="006C2525">
        <w:rPr>
          <w:rFonts w:ascii="Times New Roman" w:eastAsia="Times New Roman" w:hAnsi="Times New Roman" w:cs="Times New Roman"/>
          <w:kern w:val="0"/>
          <w14:ligatures w14:val="none"/>
        </w:rPr>
        <w:t xml:space="preserve">RECORD </w:t>
      </w:r>
      <w:r w:rsidR="004031E3">
        <w:rPr>
          <w:rFonts w:ascii="Times New Roman" w:eastAsia="Times New Roman" w:hAnsi="Times New Roman" w:cs="Times New Roman"/>
          <w:kern w:val="0"/>
          <w14:ligatures w14:val="none"/>
        </w:rPr>
        <w:t xml:space="preserve">button </w:t>
      </w:r>
      <w:r w:rsidRPr="006C2525">
        <w:rPr>
          <w:rFonts w:ascii="Times New Roman" w:eastAsia="Times New Roman" w:hAnsi="Times New Roman" w:cs="Times New Roman"/>
          <w:kern w:val="0"/>
          <w14:ligatures w14:val="none"/>
        </w:rPr>
        <w:t xml:space="preserve">captures speech; releasing </w:t>
      </w:r>
      <w:r w:rsidR="004031E3">
        <w:rPr>
          <w:rFonts w:ascii="Times New Roman" w:eastAsia="Times New Roman" w:hAnsi="Times New Roman" w:cs="Times New Roman"/>
          <w:kern w:val="0"/>
          <w14:ligatures w14:val="none"/>
        </w:rPr>
        <w:t>the same button</w:t>
      </w:r>
      <w:r w:rsidRPr="006C2525">
        <w:rPr>
          <w:rFonts w:ascii="Times New Roman" w:eastAsia="Times New Roman" w:hAnsi="Times New Roman" w:cs="Times New Roman"/>
          <w:kern w:val="0"/>
          <w14:ligatures w14:val="none"/>
        </w:rPr>
        <w:t xml:space="preserve"> submits the utterance. PLAY initiates Full Mix playback, and STOP stops playback and cancels pending requests. The voice interface also currently accepts specified Full Mix requests.</w:t>
      </w:r>
    </w:p>
    <w:p w14:paraId="2499D10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gesture prototype uses Closed Fist for Play and Open Palm for Stop. These mappings will be explained and practiced before evaluation.</w:t>
      </w:r>
    </w:p>
    <w:p w14:paraId="3BF4FFA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Not all proposed feedback, query, activity-checking, or customization behaviors are currently implemented. Before data collection, each evaluated condition will be identified as either:</w:t>
      </w:r>
    </w:p>
    <w:p w14:paraId="4100FBD8"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Live prototype:</w:t>
      </w:r>
      <w:r w:rsidRPr="006C2525">
        <w:rPr>
          <w:rFonts w:ascii="Times New Roman" w:eastAsia="Times New Roman" w:hAnsi="Times New Roman" w:cs="Times New Roman"/>
          <w:kern w:val="0"/>
          <w14:ligatures w14:val="none"/>
        </w:rPr>
        <w:t xml:space="preserve"> the participant interacts with an implemented system.</w:t>
      </w:r>
    </w:p>
    <w:p w14:paraId="5DCA543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Scripted interactive demonstration:</w:t>
      </w:r>
      <w:r w:rsidRPr="006C2525">
        <w:rPr>
          <w:rFonts w:ascii="Times New Roman" w:eastAsia="Times New Roman" w:hAnsi="Times New Roman" w:cs="Times New Roman"/>
          <w:kern w:val="0"/>
          <w14:ligatures w14:val="none"/>
        </w:rPr>
        <w:t xml:space="preserve"> the researcher follows a predetermined response script to demonstrate a proposed behavior. Participants are explicitly informed when researcher assistance is being used. These trials assess understanding and preference; they will not be reported as evidence of autonomous recognition accuracy or system latency.</w:t>
      </w:r>
    </w:p>
    <w:p w14:paraId="360D145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Condition implementation status will be recorded for every relevant trial. A comparison of autonomous system performance will be conducted only when both conditions are implemented and verified. Within each paired demonstration, researcher assistance will be matched.</w:t>
      </w:r>
    </w:p>
    <w:p w14:paraId="2ED282C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Materials will use the project’s prepared 16-measure score and aligned playback assets. Tasks will require short passages rather than fluent reading of the entire orchestral score. Measure numbering, selected Parts, audio alignment, and note/rest activity used in scenarios will be checked before testing. Activity information will not be inferred by the language model.</w:t>
      </w:r>
    </w:p>
    <w:p w14:paraId="5CF0147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same hardware, playback assets, audio routing, and feedback settings will be used within a comparison except for the variable being evaluated. Software versions and configuration will be recorded and held constant within each comparison cohort.</w:t>
      </w:r>
    </w:p>
    <w:p w14:paraId="014CE81B"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4. Participants and Enrollment</w:t>
      </w:r>
    </w:p>
    <w:p w14:paraId="7E70F7F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will be adults aged 18 or older who identify as blind or low vision and have sufficient braille music experience to work with a short passage. Participants must be able to understand the English study instructions and communicate relevant requests and responses.</w:t>
      </w:r>
    </w:p>
    <w:p w14:paraId="4EE6E79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Eligibility will be based on self-report and an accessible discussion of the study requirements. Medical documentation, a diagnosis of normal hearing, and formal audiometry are not required. Participants may use their usual hearing aids or other personal access supports.</w:t>
      </w:r>
    </w:p>
    <w:p w14:paraId="0B4ED40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researcher will discuss positioning, control access, and other accommodations before testing. Difficulty with one input method will not exclude a participant from all studies. A participant unable to use one condition comfortably may skip it; the reason and resulting missing comparison will be documented.</w:t>
      </w:r>
    </w:p>
    <w:p w14:paraId="6A292AB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Each study will aim to obtain data from </w:t>
      </w:r>
      <w:r w:rsidRPr="006C2525">
        <w:rPr>
          <w:rFonts w:ascii="Times New Roman" w:eastAsia="Times New Roman" w:hAnsi="Times New Roman" w:cs="Times New Roman"/>
          <w:b/>
          <w:bCs/>
          <w:kern w:val="0"/>
          <w14:ligatures w14:val="none"/>
        </w:rPr>
        <w:t>8 participants</w:t>
      </w:r>
      <w:r w:rsidRPr="006C2525">
        <w:rPr>
          <w:rFonts w:ascii="Times New Roman" w:eastAsia="Times New Roman" w:hAnsi="Times New Roman" w:cs="Times New Roman"/>
          <w:kern w:val="0"/>
          <w14:ligatures w14:val="none"/>
        </w:rPr>
        <w:t xml:space="preserve">, with a minimum goal of </w:t>
      </w:r>
      <w:r w:rsidRPr="006C2525">
        <w:rPr>
          <w:rFonts w:ascii="Times New Roman" w:eastAsia="Times New Roman" w:hAnsi="Times New Roman" w:cs="Times New Roman"/>
          <w:b/>
          <w:bCs/>
          <w:kern w:val="0"/>
          <w14:ligatures w14:val="none"/>
        </w:rPr>
        <w:t>6 participants providing analyzable data</w:t>
      </w:r>
      <w:r w:rsidRPr="006C2525">
        <w:rPr>
          <w:rFonts w:ascii="Times New Roman" w:eastAsia="Times New Roman" w:hAnsi="Times New Roman" w:cs="Times New Roman"/>
          <w:kern w:val="0"/>
          <w14:ligatures w14:val="none"/>
        </w:rPr>
        <w:t xml:space="preserve"> and a maximum of </w:t>
      </w:r>
      <w:r w:rsidRPr="006C2525">
        <w:rPr>
          <w:rFonts w:ascii="Times New Roman" w:eastAsia="Times New Roman" w:hAnsi="Times New Roman" w:cs="Times New Roman"/>
          <w:b/>
          <w:bCs/>
          <w:kern w:val="0"/>
          <w14:ligatures w14:val="none"/>
        </w:rPr>
        <w:t>12 enrolled participants per study</w:t>
      </w:r>
      <w:r w:rsidRPr="006C2525">
        <w:rPr>
          <w:rFonts w:ascii="Times New Roman" w:eastAsia="Times New Roman" w:hAnsi="Times New Roman" w:cs="Times New Roman"/>
          <w:kern w:val="0"/>
          <w14:ligatures w14:val="none"/>
        </w:rPr>
        <w:t>. Participants may enroll in one, two, or all three studies.</w:t>
      </w:r>
    </w:p>
    <w:p w14:paraId="4859B42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 more than 36 individuals will consent to screening or research under this protocol, and no more than 36 study enrollments will occur across the three studies. Individuals participating in multiple studies will retain one participant code. Actual unique participant counts, study enrollment counts, withdrawals, and incomplete sessions will be reported separately.</w:t>
      </w:r>
    </w:p>
    <w:p w14:paraId="34623DE6"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Recruitment will end when the target is reached or the approved recruitment period closes, subject to the enrollment limits. Recruitment will not stop because a desirable result or statistical significance has been obtained. If fewer than six analyzable participants are obtained for a study, this limitation will be reported.</w:t>
      </w:r>
    </w:p>
    <w:p w14:paraId="37ED7DB1"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5. Recruitment and Voluntary Participation</w:t>
      </w:r>
    </w:p>
    <w:p w14:paraId="2CFBC0A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Recruitment will use the approved notice in Appendix A through music accessibility networks, braille music communities, relevant organizations, and permitted Berklee channels. Organizations may distribute the invitation but will not provide private membership information without permission.</w:t>
      </w:r>
    </w:p>
    <w:p w14:paraId="511B6A5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Interested individuals will contact the research team directly. Consent to eligibility screening will be obtained before screening questions are asked. Screening will address only age eligibility, relevant braille music experience, communication requirements, access needs, and study interest.</w:t>
      </w:r>
    </w:p>
    <w:p w14:paraId="23CC507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will be asked separately whether they wish to participate in Study 1, Study 2, and Study 3. Participation in one study does not require participation in another. Study 1 is not a prerequisite for Studies 2 or 3.</w:t>
      </w:r>
    </w:p>
    <w:p w14:paraId="7038E26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There is no course-credit requirement or academic penalty associated with participation. Individuals under the direct grading or employment supervision of a research team member will not be recruited by that supervisor. No participation decisions or individual performance results will be shared with instructors or employers.</w:t>
      </w:r>
    </w:p>
    <w:p w14:paraId="5151F06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 financial compensation is planned under this protocol. Any future compensation arrangement will be submitted to the IRB before it is offered.</w:t>
      </w:r>
    </w:p>
    <w:p w14:paraId="4F8012E8"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6. Consent and Accessibility</w:t>
      </w:r>
    </w:p>
    <w:p w14:paraId="7F621B4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Consent information will be provided in screen-reader-accessible text and read aloud on request. Participants may review it in advance, ask questions, and request an accessible format or additional time.</w:t>
      </w:r>
    </w:p>
    <w:p w14:paraId="71BE750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Consent will be documented through an accessible electronic signature or another method specifically approved by the IRB. Visual impairment alone will not be treated as impaired decision-making capacity.</w:t>
      </w:r>
    </w:p>
    <w:p w14:paraId="329D34F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Before participation, the researcher will confirm that the participant understands the activities, voluntary nature of participation, recording choices, and right to stop. The researcher will explain that the system is being evaluated and that task difficulties are not a judgment of the participant’s musical ability.</w:t>
      </w:r>
    </w:p>
    <w:p w14:paraId="5406897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Consent will separately document study participation and each optional recording category. Necessary real-time camera processing and microphone capture will be distinguished from saving research recordings.</w:t>
      </w:r>
    </w:p>
    <w:p w14:paraId="19D4F6AC"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7. Common Session Procedures</w:t>
      </w:r>
    </w:p>
    <w:p w14:paraId="1A07E6C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Sessions will be individual and conducted in an accessible, quiet room. The researcher will orient the participant to the table, score, controls, camera area, and audio equipment. Physical guidance will be offered only with permission.</w:t>
      </w:r>
    </w:p>
    <w:p w14:paraId="3C2DF06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Participants will choose a comfortable listening level. Equipment and gain settings will then remain consistent within paired comparisons unless the participant requests an adjustment. Adjustments will be logged. No loudness, hearing-threshold, or aversive-sound testing is included.</w:t>
      </w:r>
    </w:p>
    <w:p w14:paraId="496DA16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will receive standardized instructions and practice. Practice trials will not be included in formal performance summaries. Participants may ask questions during practice. During timed trials, the researcher will avoid coaching unless assistance is requested or needed to prevent discomfort.</w:t>
      </w:r>
    </w:p>
    <w:p w14:paraId="0DD4AB8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Concurrent think-aloud will not be required during timed or listening-focused tasks. Brief retrospective questions will be asked afterward.</w:t>
      </w:r>
    </w:p>
    <w:p w14:paraId="32C62B9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may pause, skip a task, or end participation at any time. Breaks will be offered at least every 20 minutes and whenever requested. A physical Stop control and researcher intervention will remain available in every condition.</w:t>
      </w:r>
    </w:p>
    <w:p w14:paraId="77834B38"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8. Study 1: Formative Usability</w:t>
      </w:r>
    </w:p>
    <w:p w14:paraId="02E99DDB"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Design and Duration</w:t>
      </w:r>
    </w:p>
    <w:p w14:paraId="57598D6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Study 1 is an individual task-based evaluation followed by an interview. There is no separate control group because this study identifies usability barriers rather than tests comparative efficacy.</w:t>
      </w:r>
    </w:p>
    <w:p w14:paraId="2193C1FB" w14:textId="3C957C69"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The expected duration is </w:t>
      </w:r>
      <w:r w:rsidR="00EC0ABA">
        <w:rPr>
          <w:rFonts w:ascii="Times New Roman" w:eastAsia="Times New Roman" w:hAnsi="Times New Roman" w:cs="Times New Roman"/>
          <w:kern w:val="0"/>
          <w14:ligatures w14:val="none"/>
        </w:rPr>
        <w:t>20</w:t>
      </w:r>
      <w:r w:rsidRPr="006C2525">
        <w:rPr>
          <w:rFonts w:ascii="Times New Roman" w:eastAsia="Times New Roman" w:hAnsi="Times New Roman" w:cs="Times New Roman"/>
          <w:kern w:val="0"/>
          <w14:ligatures w14:val="none"/>
        </w:rPr>
        <w:t xml:space="preserve"> minutes, with up to </w:t>
      </w:r>
      <w:r w:rsidR="00EC0ABA">
        <w:rPr>
          <w:rFonts w:ascii="Times New Roman" w:eastAsia="Times New Roman" w:hAnsi="Times New Roman" w:cs="Times New Roman"/>
          <w:kern w:val="0"/>
          <w14:ligatures w14:val="none"/>
        </w:rPr>
        <w:t>45</w:t>
      </w:r>
      <w:r w:rsidRPr="006C2525">
        <w:rPr>
          <w:rFonts w:ascii="Times New Roman" w:eastAsia="Times New Roman" w:hAnsi="Times New Roman" w:cs="Times New Roman"/>
          <w:kern w:val="0"/>
          <w14:ligatures w14:val="none"/>
        </w:rPr>
        <w:t xml:space="preserve"> minutes allowed for access needs, additional practice, and breaks.</w:t>
      </w:r>
    </w:p>
    <w:p w14:paraId="3C857ED2"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Procedure</w:t>
      </w:r>
    </w:p>
    <w:p w14:paraId="685F007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consent, orientation, and practice, participants will complete four task families: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2"/>
        <w:gridCol w:w="6918"/>
      </w:tblGrid>
      <w:tr w:rsidR="006C2525" w:rsidRPr="006C2525" w14:paraId="07E27C2D" w14:textId="77777777">
        <w:trPr>
          <w:tblCellSpacing w:w="15" w:type="dxa"/>
        </w:trPr>
        <w:tc>
          <w:tcPr>
            <w:tcW w:w="0" w:type="auto"/>
            <w:vAlign w:val="center"/>
            <w:hideMark/>
          </w:tcPr>
          <w:p w14:paraId="1FA12488"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Task family</w:t>
            </w:r>
          </w:p>
        </w:tc>
        <w:tc>
          <w:tcPr>
            <w:tcW w:w="0" w:type="auto"/>
            <w:vAlign w:val="center"/>
            <w:hideMark/>
          </w:tcPr>
          <w:p w14:paraId="04032657"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Standard participant goal</w:t>
            </w:r>
          </w:p>
        </w:tc>
      </w:tr>
      <w:tr w:rsidR="006C2525" w:rsidRPr="006C2525" w14:paraId="083F02AA" w14:textId="77777777" w:rsidTr="00833B80">
        <w:trPr>
          <w:trHeight w:val="432"/>
          <w:tblCellSpacing w:w="15" w:type="dxa"/>
        </w:trPr>
        <w:tc>
          <w:tcPr>
            <w:tcW w:w="0" w:type="auto"/>
            <w:vAlign w:val="center"/>
            <w:hideMark/>
          </w:tcPr>
          <w:p w14:paraId="16C2700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Touch selection and Full Mix</w:t>
            </w:r>
          </w:p>
        </w:tc>
        <w:tc>
          <w:tcPr>
            <w:tcW w:w="0" w:type="auto"/>
            <w:vAlign w:val="center"/>
            <w:hideMark/>
          </w:tcPr>
          <w:p w14:paraId="3C50F11F" w14:textId="77777777" w:rsidR="006C2525" w:rsidRPr="006C2525" w:rsidRDefault="006C2525" w:rsidP="006C2525">
            <w:pPr>
              <w:spacing w:after="0" w:line="240" w:lineRule="auto"/>
              <w:rPr>
                <w:rFonts w:ascii="Times New Roman" w:eastAsia="Times New Roman" w:hAnsi="Times New Roman" w:cs="Times New Roman" w:hint="eastAsia"/>
                <w:kern w:val="0"/>
                <w14:ligatures w14:val="none"/>
              </w:rPr>
            </w:pPr>
            <w:r w:rsidRPr="006C2525">
              <w:rPr>
                <w:rFonts w:ascii="Times New Roman" w:eastAsia="Times New Roman" w:hAnsi="Times New Roman" w:cs="Times New Roman"/>
                <w:kern w:val="0"/>
                <w14:ligatures w14:val="none"/>
              </w:rPr>
              <w:t>Locate a named measure and initiate Full Mix playback from that measure.</w:t>
            </w:r>
          </w:p>
        </w:tc>
      </w:tr>
      <w:tr w:rsidR="006C2525" w:rsidRPr="006C2525" w14:paraId="52BB4EA2" w14:textId="77777777" w:rsidTr="00833B80">
        <w:trPr>
          <w:trHeight w:val="432"/>
          <w:tblCellSpacing w:w="15" w:type="dxa"/>
        </w:trPr>
        <w:tc>
          <w:tcPr>
            <w:tcW w:w="0" w:type="auto"/>
            <w:vAlign w:val="center"/>
            <w:hideMark/>
          </w:tcPr>
          <w:p w14:paraId="7455E369"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Single-Part playback</w:t>
            </w:r>
          </w:p>
        </w:tc>
        <w:tc>
          <w:tcPr>
            <w:tcW w:w="0" w:type="auto"/>
            <w:vAlign w:val="center"/>
            <w:hideMark/>
          </w:tcPr>
          <w:p w14:paraId="1E02211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one named instrumental Part from the selected measure.</w:t>
            </w:r>
          </w:p>
        </w:tc>
      </w:tr>
      <w:tr w:rsidR="006C2525" w:rsidRPr="006C2525" w14:paraId="2468139A" w14:textId="77777777" w:rsidTr="00833B80">
        <w:trPr>
          <w:trHeight w:val="432"/>
          <w:tblCellSpacing w:w="15" w:type="dxa"/>
        </w:trPr>
        <w:tc>
          <w:tcPr>
            <w:tcW w:w="0" w:type="auto"/>
            <w:vAlign w:val="center"/>
            <w:hideMark/>
          </w:tcPr>
          <w:p w14:paraId="76C4854C"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Multiple Parts and range</w:t>
            </w:r>
          </w:p>
        </w:tc>
        <w:tc>
          <w:tcPr>
            <w:tcW w:w="0" w:type="auto"/>
            <w:vAlign w:val="center"/>
            <w:hideMark/>
          </w:tcPr>
          <w:p w14:paraId="6C3ABCC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two Parts over a specified measure range, then stop playback.</w:t>
            </w:r>
          </w:p>
        </w:tc>
      </w:tr>
      <w:tr w:rsidR="006C2525" w:rsidRPr="006C2525" w14:paraId="4D2D83B8" w14:textId="77777777" w:rsidTr="00833B80">
        <w:trPr>
          <w:trHeight w:val="432"/>
          <w:tblCellSpacing w:w="15" w:type="dxa"/>
        </w:trPr>
        <w:tc>
          <w:tcPr>
            <w:tcW w:w="0" w:type="auto"/>
            <w:vAlign w:val="center"/>
            <w:hideMark/>
          </w:tcPr>
          <w:p w14:paraId="47C4CC8B"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Clarification and recovery</w:t>
            </w:r>
          </w:p>
        </w:tc>
        <w:tc>
          <w:tcPr>
            <w:tcW w:w="0" w:type="auto"/>
            <w:vAlign w:val="center"/>
            <w:hideMark/>
          </w:tcPr>
          <w:p w14:paraId="63E7C2E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Resolve an unspecified Part request, revise an intended selection, and cancel a pending request.</w:t>
            </w:r>
          </w:p>
        </w:tc>
      </w:tr>
    </w:tbl>
    <w:p w14:paraId="6622F538"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researcher will state the goal without requiring an exact command sentence. The participant may use natural wording.</w:t>
      </w:r>
    </w:p>
    <w:p w14:paraId="66265B3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Each task will be classified as independently completed, completed with assistance, not completed, or skipped. Incorrect execution, clarification, recognition failure, cancellation, and researcher intervention will be recorded separately.</w:t>
      </w:r>
    </w:p>
    <w:p w14:paraId="6885CF6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interview will address usefulness, confusing behavior, missing feedback, disruption of reading, and desired changes. Features demonstrated through scripts will be identified in the results.</w:t>
      </w:r>
    </w:p>
    <w:p w14:paraId="70718EE2"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9. Study 2: Physical Buttons versus Camera Gestures</w:t>
      </w:r>
    </w:p>
    <w:p w14:paraId="4F835B5A"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Design and Conditions</w:t>
      </w:r>
    </w:p>
    <w:p w14:paraId="7D54711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Study 2 uses a within-participant comparison:</w:t>
      </w:r>
    </w:p>
    <w:p w14:paraId="2B82B68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Condition B — Buttons:</w:t>
      </w:r>
      <w:r w:rsidRPr="006C2525">
        <w:rPr>
          <w:rFonts w:ascii="Times New Roman" w:eastAsia="Times New Roman" w:hAnsi="Times New Roman" w:cs="Times New Roman"/>
          <w:kern w:val="0"/>
          <w14:ligatures w14:val="none"/>
        </w:rPr>
        <w:t xml:space="preserve"> PLAY starts Full Mix from the selected measure; STOP stops playback.</w:t>
      </w:r>
    </w:p>
    <w:p w14:paraId="50A11D9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Condition G — Gestures:</w:t>
      </w:r>
      <w:r w:rsidRPr="006C2525">
        <w:rPr>
          <w:rFonts w:ascii="Times New Roman" w:eastAsia="Times New Roman" w:hAnsi="Times New Roman" w:cs="Times New Roman"/>
          <w:kern w:val="0"/>
          <w14:ligatures w14:val="none"/>
        </w:rPr>
        <w:t xml:space="preserve"> Closed Fist starts Full Mix from the selected measure; Open Palm stops playback.</w:t>
      </w:r>
    </w:p>
    <w:p w14:paraId="4FF97E8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Both conditions use the same measure-selection policy, musical material, playback engine, audio feedback, and stopping behavior. Automatic gesture recognition will be disabled during the button condition. The physical Stop remains available as an emergency control during the gesture condition.</w:t>
      </w:r>
    </w:p>
    <w:p w14:paraId="3176E15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will be allocated to B–G or G–B using a pre-generated balanced order list. With six participants completing both conditions, three will receive each order. Allocation will remain as balanced as possible if withdrawals occur.</w:t>
      </w:r>
    </w:p>
    <w:p w14:paraId="38B0D06E"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Procedure and Duration</w:t>
      </w:r>
    </w:p>
    <w:p w14:paraId="7238DA68" w14:textId="448D248A"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expected duration is 3</w:t>
      </w:r>
      <w:r w:rsidR="00FC3862">
        <w:rPr>
          <w:rFonts w:ascii="Times New Roman" w:eastAsia="Times New Roman" w:hAnsi="Times New Roman" w:cs="Times New Roman" w:hint="eastAsia"/>
          <w:kern w:val="0"/>
          <w14:ligatures w14:val="none"/>
        </w:rPr>
        <w:t>0</w:t>
      </w:r>
      <w:r w:rsidRPr="006C2525">
        <w:rPr>
          <w:rFonts w:ascii="Times New Roman" w:eastAsia="Times New Roman" w:hAnsi="Times New Roman" w:cs="Times New Roman"/>
          <w:kern w:val="0"/>
          <w14:ligatures w14:val="none"/>
        </w:rPr>
        <w:t>–45 minutes, including practice, two condition blocks, ratings, interview, and breaks.</w:t>
      </w:r>
    </w:p>
    <w:p w14:paraId="0A1FCEC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Each condition contains six short select–play–stop cycles, providing six intended Play and six intended Stop opportunities. Equivalent passage sets will be rotated between conditions to reduce memorization and content effects.</w:t>
      </w:r>
    </w:p>
    <w:p w14:paraId="014D747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Each condition also includes a 90-second reading interval during which participants are asked to read without issuing transport commands. This interval provides an opportunity to observe unintended activation during ordinary reading.</w:t>
      </w:r>
    </w:p>
    <w:p w14:paraId="137941C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each condition, participants will rate ease, interruption, and physical effort. After both conditions, they will describe their preference and reasons.</w:t>
      </w:r>
    </w:p>
    <w:p w14:paraId="2DDD85FA"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lastRenderedPageBreak/>
        <w:t>Outcomes</w:t>
      </w:r>
    </w:p>
    <w:p w14:paraId="2669918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primary performance outcome is the proportion of intended commands producing the correct action without repetition or researcher assistance.</w:t>
      </w:r>
    </w:p>
    <w:p w14:paraId="3B002DF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Secondary outcomes include missed commands, incorrect commands, repeated attempts, unintended activations during reading, assistance, emergency-stop use, and time required to return to the reading location.</w:t>
      </w:r>
    </w:p>
    <w:p w14:paraId="10EF1C2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Timing will distinguish task-level completion from system processing. A researcher-marked start cue and playback events will support task timing. Software event timestamps will be labeled as software timings. Acoustic onset or cessation will be reported only when supported by a verified recording method. Reverb decay will be distinguished from cessation of the dry playback signal.</w:t>
      </w:r>
    </w:p>
    <w:p w14:paraId="4016E83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Reorientation will be measured through a participant indication that the location has been found, followed by a brief location check. It will not be inferred solely from hand movement.</w:t>
      </w:r>
    </w:p>
    <w:p w14:paraId="49D86C96"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10. Study 3: Interaction Rules and Customization</w:t>
      </w:r>
    </w:p>
    <w:p w14:paraId="0ECA9D13"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Design and Duration</w:t>
      </w:r>
    </w:p>
    <w:p w14:paraId="0DF8889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Study 3 has two components: a structured comparison of rule behaviors and a practical evaluation of access to customization.</w:t>
      </w:r>
    </w:p>
    <w:p w14:paraId="129BF20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All participants will be offered all 14 rule families below. Testing all rule families does not require testing every possible combination of settings.</w:t>
      </w:r>
    </w:p>
    <w:p w14:paraId="03A0B7BC" w14:textId="4F76A09D"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The expected total duration is </w:t>
      </w:r>
      <w:r w:rsidR="0099319F">
        <w:rPr>
          <w:rFonts w:ascii="Times New Roman" w:eastAsia="Times New Roman" w:hAnsi="Times New Roman" w:cs="Times New Roman" w:hint="eastAsia"/>
          <w:kern w:val="0"/>
          <w14:ligatures w14:val="none"/>
        </w:rPr>
        <w:t>60</w:t>
      </w:r>
      <w:r w:rsidRPr="006C2525">
        <w:rPr>
          <w:rFonts w:ascii="Times New Roman" w:eastAsia="Times New Roman" w:hAnsi="Times New Roman" w:cs="Times New Roman"/>
          <w:kern w:val="0"/>
          <w14:ligatures w14:val="none"/>
        </w:rPr>
        <w:t xml:space="preserve"> minutes</w:t>
      </w:r>
      <w:r w:rsidR="0044535C">
        <w:rPr>
          <w:rFonts w:ascii="SimSun" w:eastAsia="SimSun" w:hAnsi="SimSun" w:cs="SimSun"/>
          <w:kern w:val="0"/>
          <w14:ligatures w14:val="none"/>
        </w:rPr>
        <w:t xml:space="preserve">. </w:t>
      </w:r>
      <w:r w:rsidRPr="006C2525">
        <w:rPr>
          <w:rFonts w:ascii="Times New Roman" w:eastAsia="Times New Roman" w:hAnsi="Times New Roman" w:cs="Times New Roman"/>
          <w:kern w:val="0"/>
          <w14:ligatures w14:val="none"/>
        </w:rPr>
        <w:t>Participants may stop earlier or complete remaining activities on another day.</w:t>
      </w:r>
    </w:p>
    <w:p w14:paraId="47B55BD2"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Part A: Rule Behavior Comparisons</w:t>
      </w:r>
    </w:p>
    <w:p w14:paraId="13906DC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 each rule family, participants will experience a reference behavior and a specified alternative using the same underlying scenario. Only the focal rule will change.</w:t>
      </w:r>
    </w:p>
    <w:p w14:paraId="26D0CAC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Before the first demonstration of each rule, participants will be asked what they expect the system to do. After both variants, they will identify their preferred behavior, whether either outcome was surprising, and whether they would want a persistent setting, a temporary override, or a fixed system rule.</w:t>
      </w:r>
    </w:p>
    <w:p w14:paraId="3301144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Reference-first and alternative-first presentation will be balanced across participants. Rules will be grouped into transport, voice/dialogue, and position/feedback modules. Module order will rotate across participants; necessary scenario dependencies will remain intact.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2048"/>
        <w:gridCol w:w="3863"/>
        <w:gridCol w:w="2973"/>
      </w:tblGrid>
      <w:tr w:rsidR="006C2525" w:rsidRPr="006C2525" w14:paraId="699A7C1D" w14:textId="77777777" w:rsidTr="00C36B0C">
        <w:trPr>
          <w:trHeight w:val="576"/>
          <w:tblCellSpacing w:w="15" w:type="dxa"/>
        </w:trPr>
        <w:tc>
          <w:tcPr>
            <w:tcW w:w="0" w:type="auto"/>
            <w:vAlign w:val="center"/>
            <w:hideMark/>
          </w:tcPr>
          <w:p w14:paraId="4B74DB83"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lastRenderedPageBreak/>
              <w:t>ID</w:t>
            </w:r>
          </w:p>
        </w:tc>
        <w:tc>
          <w:tcPr>
            <w:tcW w:w="0" w:type="auto"/>
            <w:vAlign w:val="center"/>
            <w:hideMark/>
          </w:tcPr>
          <w:p w14:paraId="5D160EFF"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Rule family</w:t>
            </w:r>
          </w:p>
        </w:tc>
        <w:tc>
          <w:tcPr>
            <w:tcW w:w="0" w:type="auto"/>
            <w:vAlign w:val="center"/>
            <w:hideMark/>
          </w:tcPr>
          <w:p w14:paraId="324A47BF"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Reference and principal alternative</w:t>
            </w:r>
          </w:p>
        </w:tc>
        <w:tc>
          <w:tcPr>
            <w:tcW w:w="0" w:type="auto"/>
            <w:vAlign w:val="center"/>
            <w:hideMark/>
          </w:tcPr>
          <w:p w14:paraId="66AF2E92"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Scenario</w:t>
            </w:r>
          </w:p>
        </w:tc>
      </w:tr>
      <w:tr w:rsidR="006C2525" w:rsidRPr="006C2525" w14:paraId="5214E545" w14:textId="77777777" w:rsidTr="00C36B0C">
        <w:trPr>
          <w:trHeight w:val="576"/>
          <w:tblCellSpacing w:w="15" w:type="dxa"/>
        </w:trPr>
        <w:tc>
          <w:tcPr>
            <w:tcW w:w="0" w:type="auto"/>
            <w:vAlign w:val="center"/>
            <w:hideMark/>
          </w:tcPr>
          <w:p w14:paraId="6698660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R01</w:t>
            </w:r>
          </w:p>
        </w:tc>
        <w:tc>
          <w:tcPr>
            <w:tcW w:w="0" w:type="auto"/>
            <w:vAlign w:val="center"/>
            <w:hideMark/>
          </w:tcPr>
          <w:p w14:paraId="7F8E562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Playback access</w:t>
            </w:r>
          </w:p>
        </w:tc>
        <w:tc>
          <w:tcPr>
            <w:tcW w:w="0" w:type="auto"/>
            <w:vAlign w:val="center"/>
            <w:hideMark/>
          </w:tcPr>
          <w:p w14:paraId="128B366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PLAY for Full Mix and voice for Stems versus voice access to both, with PLAY retained.</w:t>
            </w:r>
          </w:p>
        </w:tc>
        <w:tc>
          <w:tcPr>
            <w:tcW w:w="0" w:type="auto"/>
            <w:vAlign w:val="center"/>
            <w:hideMark/>
          </w:tcPr>
          <w:p w14:paraId="01B32EBE"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Full Mix and then a named Part.</w:t>
            </w:r>
          </w:p>
        </w:tc>
      </w:tr>
      <w:tr w:rsidR="006C2525" w:rsidRPr="006C2525" w14:paraId="0F537F5F" w14:textId="77777777" w:rsidTr="00C36B0C">
        <w:trPr>
          <w:trHeight w:val="576"/>
          <w:tblCellSpacing w:w="15" w:type="dxa"/>
        </w:trPr>
        <w:tc>
          <w:tcPr>
            <w:tcW w:w="0" w:type="auto"/>
            <w:vAlign w:val="center"/>
            <w:hideMark/>
          </w:tcPr>
          <w:p w14:paraId="06AC7565"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R02</w:t>
            </w:r>
          </w:p>
        </w:tc>
        <w:tc>
          <w:tcPr>
            <w:tcW w:w="0" w:type="auto"/>
            <w:vAlign w:val="center"/>
            <w:hideMark/>
          </w:tcPr>
          <w:p w14:paraId="21204855"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Stop ending</w:t>
            </w:r>
          </w:p>
        </w:tc>
        <w:tc>
          <w:tcPr>
            <w:tcW w:w="0" w:type="auto"/>
            <w:vAlign w:val="center"/>
            <w:hideMark/>
          </w:tcPr>
          <w:p w14:paraId="6E83B7E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Natural reverb decay versus immediate silence.</w:t>
            </w:r>
          </w:p>
        </w:tc>
        <w:tc>
          <w:tcPr>
            <w:tcW w:w="0" w:type="auto"/>
            <w:vAlign w:val="center"/>
            <w:hideMark/>
          </w:tcPr>
          <w:p w14:paraId="4E32D649"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Stop the same short passage and compare the ending.</w:t>
            </w:r>
          </w:p>
        </w:tc>
      </w:tr>
      <w:tr w:rsidR="006C2525" w:rsidRPr="006C2525" w14:paraId="006D6568" w14:textId="77777777" w:rsidTr="00C36B0C">
        <w:trPr>
          <w:trHeight w:val="576"/>
          <w:tblCellSpacing w:w="15" w:type="dxa"/>
        </w:trPr>
        <w:tc>
          <w:tcPr>
            <w:tcW w:w="0" w:type="auto"/>
            <w:vAlign w:val="center"/>
            <w:hideMark/>
          </w:tcPr>
          <w:p w14:paraId="114A129E"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R03</w:t>
            </w:r>
          </w:p>
        </w:tc>
        <w:tc>
          <w:tcPr>
            <w:tcW w:w="0" w:type="auto"/>
            <w:vAlign w:val="center"/>
            <w:hideMark/>
          </w:tcPr>
          <w:p w14:paraId="61B8E63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Recording boundaries</w:t>
            </w:r>
          </w:p>
        </w:tc>
        <w:tc>
          <w:tcPr>
            <w:tcW w:w="0" w:type="auto"/>
            <w:vAlign w:val="center"/>
            <w:hideMark/>
          </w:tcPr>
          <w:p w14:paraId="0D652D1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Hold RECORD and release to submit versus press once to start and again to submit.</w:t>
            </w:r>
          </w:p>
        </w:tc>
        <w:tc>
          <w:tcPr>
            <w:tcW w:w="0" w:type="auto"/>
            <w:vAlign w:val="center"/>
            <w:hideMark/>
          </w:tcPr>
          <w:p w14:paraId="7D7EB18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Give a request containing a thinking pause and self-correction.</w:t>
            </w:r>
          </w:p>
        </w:tc>
      </w:tr>
      <w:tr w:rsidR="006C2525" w:rsidRPr="006C2525" w14:paraId="213F8700" w14:textId="77777777" w:rsidTr="00C36B0C">
        <w:trPr>
          <w:trHeight w:val="576"/>
          <w:tblCellSpacing w:w="15" w:type="dxa"/>
        </w:trPr>
        <w:tc>
          <w:tcPr>
            <w:tcW w:w="0" w:type="auto"/>
            <w:vAlign w:val="center"/>
            <w:hideMark/>
          </w:tcPr>
          <w:p w14:paraId="7FD806B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R04</w:t>
            </w:r>
          </w:p>
        </w:tc>
        <w:tc>
          <w:tcPr>
            <w:tcW w:w="0" w:type="auto"/>
            <w:vAlign w:val="center"/>
            <w:hideMark/>
          </w:tcPr>
          <w:p w14:paraId="1D85B22F"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Recording during music</w:t>
            </w:r>
          </w:p>
        </w:tc>
        <w:tc>
          <w:tcPr>
            <w:tcW w:w="0" w:type="auto"/>
            <w:vAlign w:val="center"/>
            <w:hideMark/>
          </w:tcPr>
          <w:p w14:paraId="2D117A1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RECORD automatically stops music versus requiring the participant to stop music before recording can begin.</w:t>
            </w:r>
          </w:p>
        </w:tc>
        <w:tc>
          <w:tcPr>
            <w:tcW w:w="0" w:type="auto"/>
            <w:vAlign w:val="center"/>
            <w:hideMark/>
          </w:tcPr>
          <w:p w14:paraId="12855CA3"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Make a new request while music is playing.</w:t>
            </w:r>
          </w:p>
        </w:tc>
      </w:tr>
      <w:tr w:rsidR="006C2525" w:rsidRPr="006C2525" w14:paraId="637553FA" w14:textId="77777777" w:rsidTr="00C36B0C">
        <w:trPr>
          <w:trHeight w:val="576"/>
          <w:tblCellSpacing w:w="15" w:type="dxa"/>
        </w:trPr>
        <w:tc>
          <w:tcPr>
            <w:tcW w:w="0" w:type="auto"/>
            <w:vAlign w:val="center"/>
            <w:hideMark/>
          </w:tcPr>
          <w:p w14:paraId="1D2ABDCE"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R05</w:t>
            </w:r>
          </w:p>
        </w:tc>
        <w:tc>
          <w:tcPr>
            <w:tcW w:w="0" w:type="auto"/>
            <w:vAlign w:val="center"/>
            <w:hideMark/>
          </w:tcPr>
          <w:p w14:paraId="0BC04129"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Clarification capture</w:t>
            </w:r>
          </w:p>
        </w:tc>
        <w:tc>
          <w:tcPr>
            <w:tcW w:w="0" w:type="auto"/>
            <w:vAlign w:val="center"/>
            <w:hideMark/>
          </w:tcPr>
          <w:p w14:paraId="699073A5"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Hold RECORD to answer versus an explicitly cued, time-limited automatic response window.</w:t>
            </w:r>
          </w:p>
        </w:tc>
        <w:tc>
          <w:tcPr>
            <w:tcW w:w="0" w:type="auto"/>
            <w:vAlign w:val="center"/>
            <w:hideMark/>
          </w:tcPr>
          <w:p w14:paraId="65B17228"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Answer “Flute one, flute two, or both?”</w:t>
            </w:r>
          </w:p>
        </w:tc>
      </w:tr>
      <w:tr w:rsidR="006C2525" w:rsidRPr="006C2525" w14:paraId="3F1995F8" w14:textId="77777777" w:rsidTr="00C36B0C">
        <w:trPr>
          <w:trHeight w:val="576"/>
          <w:tblCellSpacing w:w="15" w:type="dxa"/>
        </w:trPr>
        <w:tc>
          <w:tcPr>
            <w:tcW w:w="0" w:type="auto"/>
            <w:vAlign w:val="center"/>
            <w:hideMark/>
          </w:tcPr>
          <w:p w14:paraId="272389CB"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R06</w:t>
            </w:r>
          </w:p>
        </w:tc>
        <w:tc>
          <w:tcPr>
            <w:tcW w:w="0" w:type="auto"/>
            <w:vAlign w:val="center"/>
            <w:hideMark/>
          </w:tcPr>
          <w:p w14:paraId="196A00C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Behavior after a query</w:t>
            </w:r>
          </w:p>
        </w:tc>
        <w:tc>
          <w:tcPr>
            <w:tcW w:w="0" w:type="auto"/>
            <w:vAlign w:val="center"/>
            <w:hideMark/>
          </w:tcPr>
          <w:p w14:paraId="12AC5F1C"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Remain stopped versus resume prior playback after answering.</w:t>
            </w:r>
          </w:p>
        </w:tc>
        <w:tc>
          <w:tcPr>
            <w:tcW w:w="0" w:type="auto"/>
            <w:vAlign w:val="center"/>
            <w:hideMark/>
          </w:tcPr>
          <w:p w14:paraId="79C96AF8"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Ask a position question during playback.</w:t>
            </w:r>
          </w:p>
        </w:tc>
      </w:tr>
      <w:tr w:rsidR="006C2525" w:rsidRPr="006C2525" w14:paraId="49EA1C7C" w14:textId="77777777" w:rsidTr="00C36B0C">
        <w:trPr>
          <w:trHeight w:val="576"/>
          <w:tblCellSpacing w:w="15" w:type="dxa"/>
        </w:trPr>
        <w:tc>
          <w:tcPr>
            <w:tcW w:w="0" w:type="auto"/>
            <w:vAlign w:val="center"/>
            <w:hideMark/>
          </w:tcPr>
          <w:p w14:paraId="539B17E5"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R07</w:t>
            </w:r>
          </w:p>
        </w:tc>
        <w:tc>
          <w:tcPr>
            <w:tcW w:w="0" w:type="auto"/>
            <w:vAlign w:val="center"/>
            <w:hideMark/>
          </w:tcPr>
          <w:p w14:paraId="7FF08CFF"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Unspecified playback length</w:t>
            </w:r>
          </w:p>
        </w:tc>
        <w:tc>
          <w:tcPr>
            <w:tcW w:w="0" w:type="auto"/>
            <w:vAlign w:val="center"/>
            <w:hideMark/>
          </w:tcPr>
          <w:p w14:paraId="4A5E068D"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Play to the end versus a four-measure default.</w:t>
            </w:r>
          </w:p>
        </w:tc>
        <w:tc>
          <w:tcPr>
            <w:tcW w:w="0" w:type="auto"/>
            <w:vAlign w:val="center"/>
            <w:hideMark/>
          </w:tcPr>
          <w:p w14:paraId="142E291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a Part without stating a duration.</w:t>
            </w:r>
          </w:p>
        </w:tc>
      </w:tr>
      <w:tr w:rsidR="006C2525" w:rsidRPr="006C2525" w14:paraId="3B020ACF" w14:textId="77777777" w:rsidTr="00C36B0C">
        <w:trPr>
          <w:trHeight w:val="576"/>
          <w:tblCellSpacing w:w="15" w:type="dxa"/>
        </w:trPr>
        <w:tc>
          <w:tcPr>
            <w:tcW w:w="0" w:type="auto"/>
            <w:vAlign w:val="center"/>
            <w:hideMark/>
          </w:tcPr>
          <w:p w14:paraId="35539A7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R08</w:t>
            </w:r>
          </w:p>
        </w:tc>
        <w:tc>
          <w:tcPr>
            <w:tcW w:w="0" w:type="auto"/>
            <w:vAlign w:val="center"/>
            <w:hideMark/>
          </w:tcPr>
          <w:p w14:paraId="635888E9"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Playback announcement</w:t>
            </w:r>
          </w:p>
        </w:tc>
        <w:tc>
          <w:tcPr>
            <w:tcW w:w="0" w:type="auto"/>
            <w:vAlign w:val="center"/>
            <w:hideMark/>
          </w:tcPr>
          <w:p w14:paraId="568944C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Announce the starting measure versus announce the measure and selected Parts.</w:t>
            </w:r>
          </w:p>
        </w:tc>
        <w:tc>
          <w:tcPr>
            <w:tcW w:w="0" w:type="auto"/>
            <w:vAlign w:val="center"/>
            <w:hideMark/>
          </w:tcPr>
          <w:p w14:paraId="6B1FB8D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one Part and then multiple Parts.</w:t>
            </w:r>
          </w:p>
        </w:tc>
      </w:tr>
      <w:tr w:rsidR="006C2525" w:rsidRPr="006C2525" w14:paraId="6862CA08" w14:textId="77777777" w:rsidTr="00C36B0C">
        <w:trPr>
          <w:trHeight w:val="576"/>
          <w:tblCellSpacing w:w="15" w:type="dxa"/>
        </w:trPr>
        <w:tc>
          <w:tcPr>
            <w:tcW w:w="0" w:type="auto"/>
            <w:vAlign w:val="center"/>
            <w:hideMark/>
          </w:tcPr>
          <w:p w14:paraId="58657BCB"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R09</w:t>
            </w:r>
          </w:p>
        </w:tc>
        <w:tc>
          <w:tcPr>
            <w:tcW w:w="0" w:type="auto"/>
            <w:vAlign w:val="center"/>
            <w:hideMark/>
          </w:tcPr>
          <w:p w14:paraId="484AF75B"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Unspecified numbered Part</w:t>
            </w:r>
          </w:p>
        </w:tc>
        <w:tc>
          <w:tcPr>
            <w:tcW w:w="0" w:type="auto"/>
            <w:vAlign w:val="center"/>
            <w:hideMark/>
          </w:tcPr>
          <w:p w14:paraId="7F004B6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Ask for clarification versus apply a previously selected family-level default.</w:t>
            </w:r>
          </w:p>
        </w:tc>
        <w:tc>
          <w:tcPr>
            <w:tcW w:w="0" w:type="auto"/>
            <w:vAlign w:val="center"/>
            <w:hideMark/>
          </w:tcPr>
          <w:p w14:paraId="4958A29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“flute” without specifying a Part number.</w:t>
            </w:r>
          </w:p>
        </w:tc>
      </w:tr>
      <w:tr w:rsidR="006C2525" w:rsidRPr="006C2525" w14:paraId="5B205D47" w14:textId="77777777" w:rsidTr="00C36B0C">
        <w:trPr>
          <w:trHeight w:val="576"/>
          <w:tblCellSpacing w:w="15" w:type="dxa"/>
        </w:trPr>
        <w:tc>
          <w:tcPr>
            <w:tcW w:w="0" w:type="auto"/>
            <w:vAlign w:val="center"/>
            <w:hideMark/>
          </w:tcPr>
          <w:p w14:paraId="30ED77D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R10</w:t>
            </w:r>
          </w:p>
        </w:tc>
        <w:tc>
          <w:tcPr>
            <w:tcW w:w="0" w:type="auto"/>
            <w:vAlign w:val="center"/>
            <w:hideMark/>
          </w:tcPr>
          <w:p w14:paraId="211A376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Meaning of “last location”</w:t>
            </w:r>
          </w:p>
        </w:tc>
        <w:tc>
          <w:tcPr>
            <w:tcW w:w="0" w:type="auto"/>
            <w:vAlign w:val="center"/>
            <w:hideMark/>
          </w:tcPr>
          <w:p w14:paraId="05CC909D"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Previous </w:t>
            </w:r>
            <w:proofErr w:type="gramStart"/>
            <w:r w:rsidRPr="006C2525">
              <w:rPr>
                <w:rFonts w:ascii="Times New Roman" w:eastAsia="Times New Roman" w:hAnsi="Times New Roman" w:cs="Times New Roman"/>
                <w:kern w:val="0"/>
                <w14:ligatures w14:val="none"/>
              </w:rPr>
              <w:t>playback</w:t>
            </w:r>
            <w:proofErr w:type="gramEnd"/>
            <w:r w:rsidRPr="006C2525">
              <w:rPr>
                <w:rFonts w:ascii="Times New Roman" w:eastAsia="Times New Roman" w:hAnsi="Times New Roman" w:cs="Times New Roman"/>
                <w:kern w:val="0"/>
                <w14:ligatures w14:val="none"/>
              </w:rPr>
              <w:t xml:space="preserve"> start versus previous stopped measure.</w:t>
            </w:r>
          </w:p>
        </w:tc>
        <w:tc>
          <w:tcPr>
            <w:tcW w:w="0" w:type="auto"/>
            <w:vAlign w:val="center"/>
            <w:hideMark/>
          </w:tcPr>
          <w:p w14:paraId="13D485DE"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Begin at measure 5, stop at measure 8, then request the last location.</w:t>
            </w:r>
          </w:p>
        </w:tc>
      </w:tr>
      <w:tr w:rsidR="006C2525" w:rsidRPr="006C2525" w14:paraId="57277576" w14:textId="77777777" w:rsidTr="00C36B0C">
        <w:trPr>
          <w:trHeight w:val="576"/>
          <w:tblCellSpacing w:w="15" w:type="dxa"/>
        </w:trPr>
        <w:tc>
          <w:tcPr>
            <w:tcW w:w="0" w:type="auto"/>
            <w:vAlign w:val="center"/>
            <w:hideMark/>
          </w:tcPr>
          <w:p w14:paraId="03A75F83"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R11</w:t>
            </w:r>
          </w:p>
        </w:tc>
        <w:tc>
          <w:tcPr>
            <w:tcW w:w="0" w:type="auto"/>
            <w:vAlign w:val="center"/>
            <w:hideMark/>
          </w:tcPr>
          <w:p w14:paraId="4707DB9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Activity-check window</w:t>
            </w:r>
          </w:p>
        </w:tc>
        <w:tc>
          <w:tcPr>
            <w:tcW w:w="0" w:type="auto"/>
            <w:vAlign w:val="center"/>
            <w:hideMark/>
          </w:tcPr>
          <w:p w14:paraId="137FEFC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Check the first two requested measures versus the starting measure only.</w:t>
            </w:r>
          </w:p>
        </w:tc>
        <w:tc>
          <w:tcPr>
            <w:tcW w:w="0" w:type="auto"/>
            <w:vAlign w:val="center"/>
            <w:hideMark/>
          </w:tcPr>
          <w:p w14:paraId="2E1E301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a passage with a verified silent start and a later entry.</w:t>
            </w:r>
          </w:p>
        </w:tc>
      </w:tr>
      <w:tr w:rsidR="006C2525" w:rsidRPr="006C2525" w14:paraId="5E3F2F9D" w14:textId="77777777" w:rsidTr="00C36B0C">
        <w:trPr>
          <w:trHeight w:val="576"/>
          <w:tblCellSpacing w:w="15" w:type="dxa"/>
        </w:trPr>
        <w:tc>
          <w:tcPr>
            <w:tcW w:w="0" w:type="auto"/>
            <w:vAlign w:val="center"/>
            <w:hideMark/>
          </w:tcPr>
          <w:p w14:paraId="1FD215EC"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R12</w:t>
            </w:r>
          </w:p>
        </w:tc>
        <w:tc>
          <w:tcPr>
            <w:tcW w:w="0" w:type="auto"/>
            <w:vAlign w:val="center"/>
            <w:hideMark/>
          </w:tcPr>
          <w:p w14:paraId="599FC158"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Response to a silent checked window</w:t>
            </w:r>
          </w:p>
        </w:tc>
        <w:tc>
          <w:tcPr>
            <w:tcW w:w="0" w:type="auto"/>
            <w:vAlign w:val="center"/>
            <w:hideMark/>
          </w:tcPr>
          <w:p w14:paraId="60C9392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Notify and wait versus notify and continue from the requested start.</w:t>
            </w:r>
          </w:p>
        </w:tc>
        <w:tc>
          <w:tcPr>
            <w:tcW w:w="0" w:type="auto"/>
            <w:vAlign w:val="center"/>
            <w:hideMark/>
          </w:tcPr>
          <w:p w14:paraId="22A2E53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Request a range whose checked opening window is silent.</w:t>
            </w:r>
          </w:p>
        </w:tc>
      </w:tr>
      <w:tr w:rsidR="006C2525" w:rsidRPr="006C2525" w14:paraId="41EABB8C" w14:textId="77777777" w:rsidTr="00C36B0C">
        <w:trPr>
          <w:trHeight w:val="576"/>
          <w:tblCellSpacing w:w="15" w:type="dxa"/>
        </w:trPr>
        <w:tc>
          <w:tcPr>
            <w:tcW w:w="0" w:type="auto"/>
            <w:vAlign w:val="center"/>
            <w:hideMark/>
          </w:tcPr>
          <w:p w14:paraId="3912775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R13</w:t>
            </w:r>
          </w:p>
        </w:tc>
        <w:tc>
          <w:tcPr>
            <w:tcW w:w="0" w:type="auto"/>
            <w:vAlign w:val="center"/>
            <w:hideMark/>
          </w:tcPr>
          <w:p w14:paraId="1478641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Position feedback</w:t>
            </w:r>
          </w:p>
        </w:tc>
        <w:tc>
          <w:tcPr>
            <w:tcW w:w="0" w:type="auto"/>
            <w:vAlign w:val="center"/>
            <w:hideMark/>
          </w:tcPr>
          <w:p w14:paraId="69A4EEB8"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Announce position on request versus announce each stable measure change.</w:t>
            </w:r>
          </w:p>
        </w:tc>
        <w:tc>
          <w:tcPr>
            <w:tcW w:w="0" w:type="auto"/>
            <w:vAlign w:val="center"/>
            <w:hideMark/>
          </w:tcPr>
          <w:p w14:paraId="7766E84D"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Read across several measures and query position.</w:t>
            </w:r>
          </w:p>
        </w:tc>
      </w:tr>
      <w:tr w:rsidR="006C2525" w:rsidRPr="006C2525" w14:paraId="3BAD7E4A" w14:textId="77777777" w:rsidTr="00C36B0C">
        <w:trPr>
          <w:trHeight w:val="576"/>
          <w:tblCellSpacing w:w="15" w:type="dxa"/>
        </w:trPr>
        <w:tc>
          <w:tcPr>
            <w:tcW w:w="0" w:type="auto"/>
            <w:vAlign w:val="center"/>
            <w:hideMark/>
          </w:tcPr>
          <w:p w14:paraId="6529C12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R14</w:t>
            </w:r>
          </w:p>
        </w:tc>
        <w:tc>
          <w:tcPr>
            <w:tcW w:w="0" w:type="auto"/>
            <w:vAlign w:val="center"/>
            <w:hideMark/>
          </w:tcPr>
          <w:p w14:paraId="0DE3C01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Position anchor</w:t>
            </w:r>
          </w:p>
        </w:tc>
        <w:tc>
          <w:tcPr>
            <w:tcW w:w="0" w:type="auto"/>
            <w:vAlign w:val="center"/>
            <w:hideMark/>
          </w:tcPr>
          <w:p w14:paraId="754D4B2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Freeze the selected measure when RECORD begins versus use the measure selected at submission.</w:t>
            </w:r>
          </w:p>
        </w:tc>
        <w:tc>
          <w:tcPr>
            <w:tcW w:w="0" w:type="auto"/>
            <w:vAlign w:val="center"/>
            <w:hideMark/>
          </w:tcPr>
          <w:p w14:paraId="31483F34"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Move from measure 5 to measure 7 while giving a request without an explicit start.</w:t>
            </w:r>
          </w:p>
        </w:tc>
      </w:tr>
    </w:tbl>
    <w:p w14:paraId="09D2B2E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For R07, the customization phase will additionally offer one- and two-measure defaults. For R08, it will offer no ordinary pre-playback announcement. For R09, participants may select a numbered Part or all Parts within the specified Instrument family. For R11, a further option will inspect through the next verified entry within the requested range. For R12, an additional option will offer a skip that requires explicit confirmation.</w:t>
      </w:r>
    </w:p>
    <w:p w14:paraId="73260F7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These options will be demonstrated when selected. They will not generate an exhaustive factorial experiment.</w:t>
      </w:r>
    </w:p>
    <w:p w14:paraId="162C80B5"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Part B: Fixed and Configurable Conditions</w:t>
      </w:r>
    </w:p>
    <w:p w14:paraId="44525AD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familiarization with the rules, participants will complete two matched four-task blocks:</w:t>
      </w:r>
    </w:p>
    <w:p w14:paraId="267502E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Fixed condition:</w:t>
      </w:r>
      <w:r w:rsidRPr="006C2525">
        <w:rPr>
          <w:rFonts w:ascii="Times New Roman" w:eastAsia="Times New Roman" w:hAnsi="Times New Roman" w:cs="Times New Roman"/>
          <w:kern w:val="0"/>
          <w14:ligatures w14:val="none"/>
        </w:rPr>
        <w:t xml:space="preserve"> the system uses the reference rules. Persistent settings cannot be changed.</w:t>
      </w:r>
    </w:p>
    <w:p w14:paraId="71FDA60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Configurable condition:</w:t>
      </w:r>
      <w:r w:rsidRPr="006C2525">
        <w:rPr>
          <w:rFonts w:ascii="Times New Roman" w:eastAsia="Times New Roman" w:hAnsi="Times New Roman" w:cs="Times New Roman"/>
          <w:kern w:val="0"/>
          <w14:ligatures w14:val="none"/>
        </w:rPr>
        <w:t xml:space="preserve"> the same reference rules are initially active. Participants may keep them or change the listed settings through an accessible spoken settings interface.</w:t>
      </w:r>
    </w:p>
    <w:p w14:paraId="2AD7E87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Order will be balanced across participants. Settings will reset between blocks, and the active configuration will be confirmed before each block. Temporary explicit overrides, where supported, will remain equally available in both conditions.</w:t>
      </w:r>
    </w:p>
    <w:p w14:paraId="37FCCE8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four tasks will involve an omitted duration, an unspecified Part, a position or history request, and a silent-opening passage. Equivalent scenarios will be rotated between conditions.</w:t>
      </w:r>
    </w:p>
    <w:p w14:paraId="788AFF1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will not be required to change a setting. The researcher will record which settings are changed, retained, revisited, or restored; configuration time; requests for help; predictions of subsequent behavior; and task outcomes.</w:t>
      </w:r>
    </w:p>
    <w:p w14:paraId="0768A8C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In both conditions, participants will be asked which settings currently govern playback length, feedback detail, and “last location.” The questions will assess understanding without penalizing uncertainty.</w:t>
      </w:r>
    </w:p>
    <w:p w14:paraId="551F1C7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This comparison estimates the practical benefits and costs of providing customization. Because participants may choose different settings, any resulting performance difference will not be attributed solely to the presence of a settings interface.</w:t>
      </w:r>
    </w:p>
    <w:p w14:paraId="259453C8" w14:textId="77777777" w:rsidR="006C2525" w:rsidRPr="006C2525" w:rsidRDefault="006C2525" w:rsidP="006C252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C2525">
        <w:rPr>
          <w:rFonts w:ascii="Times New Roman" w:eastAsia="Times New Roman" w:hAnsi="Times New Roman" w:cs="Times New Roman"/>
          <w:b/>
          <w:bCs/>
          <w:kern w:val="0"/>
          <w:sz w:val="27"/>
          <w:szCs w:val="27"/>
          <w14:ligatures w14:val="none"/>
        </w:rPr>
        <w:t>Invariants</w:t>
      </w:r>
    </w:p>
    <w:p w14:paraId="465EE2D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Global Stop and cancellation remain available. Explicit Part and range requests take precedence over defaults. The system will not silently substitute an unavailable Instrument, bypass an explicit cancellation, or infer silence from missing metadata.</w:t>
      </w:r>
    </w:p>
    <w:p w14:paraId="413235D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 automatic microphone capture will occur outside the disclosed clarification window. No automatic skipping will occur without the participant’s confirmation.</w:t>
      </w:r>
    </w:p>
    <w:p w14:paraId="3E49499C"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lastRenderedPageBreak/>
        <w:t>11. Participation Across Studies</w:t>
      </w:r>
    </w:p>
    <w:p w14:paraId="1C99B5D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may choose any combination of studies. Each study will include its own orientation and practice, so previous participation is unnecessary.</w:t>
      </w:r>
    </w:p>
    <w:p w14:paraId="4FE206F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Previous prototype exposure, study order, and time between sessions will be recorded. When scheduling permits, Study 2 and Study 3 order will be balanced among participants attending both. Returning participants will receive a configuration reset and standardized refresher.</w:t>
      </w:r>
    </w:p>
    <w:p w14:paraId="2D3145D6"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Studies will be analyzed separately. A returning participant will not be treated as a new independent person in cross-study summaries.</w:t>
      </w:r>
    </w:p>
    <w:p w14:paraId="5650E70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 participant completing all three studies may attend up to four visits, with a maximum planned total of approximately 205 minutes. Scheduling will accommodate breaks and access needs.</w:t>
      </w:r>
    </w:p>
    <w:p w14:paraId="78BAD70B"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12. Data Collection</w:t>
      </w:r>
    </w:p>
    <w:p w14:paraId="32D8BE5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Research data will include participant codes; study and condition order; broad age range; self-reported braille music and music-technology experience; relevant functional access needs; task outcomes; assistance; errors; cancellations; settings changes; ratings; interview responses; and researcher observations.</w:t>
      </w:r>
    </w:p>
    <w:p w14:paraId="400B583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System logs may include selected and anchored measures, interpreted requests, selected Parts and ranges, command transcripts, playback events, software timestamps, and implementation status. Logs will exclude unrelated computer activity.</w:t>
      </w:r>
    </w:p>
    <w:p w14:paraId="0E430CF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Three recording categories will be optional and separately consented:</w:t>
      </w:r>
    </w:p>
    <w:p w14:paraId="3D545BC8"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Task audio:</w:t>
      </w:r>
      <w:r w:rsidRPr="006C2525">
        <w:rPr>
          <w:rFonts w:ascii="Times New Roman" w:eastAsia="Times New Roman" w:hAnsi="Times New Roman" w:cs="Times New Roman"/>
          <w:kern w:val="0"/>
          <w14:ligatures w14:val="none"/>
        </w:rPr>
        <w:t xml:space="preserve"> captures commands, system responses, and playback for reviewing interaction sequences and timing.</w:t>
      </w:r>
    </w:p>
    <w:p w14:paraId="6851E68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 xml:space="preserve">Interview </w:t>
      </w:r>
      <w:proofErr w:type="gramStart"/>
      <w:r w:rsidRPr="006C2525">
        <w:rPr>
          <w:rFonts w:ascii="Times New Roman" w:eastAsia="Times New Roman" w:hAnsi="Times New Roman" w:cs="Times New Roman"/>
          <w:b/>
          <w:bCs/>
          <w:kern w:val="0"/>
          <w14:ligatures w14:val="none"/>
        </w:rPr>
        <w:t>audio:</w:t>
      </w:r>
      <w:proofErr w:type="gramEnd"/>
      <w:r w:rsidRPr="006C2525">
        <w:rPr>
          <w:rFonts w:ascii="Times New Roman" w:eastAsia="Times New Roman" w:hAnsi="Times New Roman" w:cs="Times New Roman"/>
          <w:kern w:val="0"/>
          <w14:ligatures w14:val="none"/>
        </w:rPr>
        <w:t xml:space="preserve"> supports accurate transcription and interpretation of comments.</w:t>
      </w:r>
    </w:p>
    <w:p w14:paraId="29052E2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 xml:space="preserve">Silent overhead </w:t>
      </w:r>
      <w:proofErr w:type="gramStart"/>
      <w:r w:rsidRPr="006C2525">
        <w:rPr>
          <w:rFonts w:ascii="Times New Roman" w:eastAsia="Times New Roman" w:hAnsi="Times New Roman" w:cs="Times New Roman"/>
          <w:b/>
          <w:bCs/>
          <w:kern w:val="0"/>
          <w14:ligatures w14:val="none"/>
        </w:rPr>
        <w:t>video:</w:t>
      </w:r>
      <w:proofErr w:type="gramEnd"/>
      <w:r w:rsidRPr="006C2525">
        <w:rPr>
          <w:rFonts w:ascii="Times New Roman" w:eastAsia="Times New Roman" w:hAnsi="Times New Roman" w:cs="Times New Roman"/>
          <w:kern w:val="0"/>
          <w14:ligatures w14:val="none"/>
        </w:rPr>
        <w:t xml:space="preserve"> captures hands, score, and controls to examine gestures, reading interruptions, and reorientation. The camera will be framed to exclude the face as far as practical. Hands or personal features may nevertheless be identifiable.</w:t>
      </w:r>
    </w:p>
    <w:p w14:paraId="46C8134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Declining any optional recording will not prevent participation. Researcher notes and available event logs will be used instead. Recording-dependent measures will be reported with their actual denominators.</w:t>
      </w:r>
    </w:p>
    <w:p w14:paraId="0497D8A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Real-time camera processing is necessary for finger tracking and gesture conditions. Brief microphone capture is necessary for voice interaction. These operational inputs will not be saved unless covered by the relevant optional recording permission.</w:t>
      </w:r>
    </w:p>
    <w:p w14:paraId="505FDE1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No physiological measurements, diagnostic assessments, or biometric identification will be conducted.</w:t>
      </w:r>
    </w:p>
    <w:p w14:paraId="08D87E50"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13. Data Analysis</w:t>
      </w:r>
    </w:p>
    <w:p w14:paraId="747287F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Analysis will emphasize individual results, descriptive summaries, paired comparisons, and qualitative interpretation.</w:t>
      </w:r>
    </w:p>
    <w:p w14:paraId="68D81FA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 Study 1, the team will summarize task outcomes and examine recurring barriers, recovery strategies, and assistance needs.</w:t>
      </w:r>
    </w:p>
    <w:p w14:paraId="4643E1D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 Study 2, the team will report participant-level command success and error rates, paired differences, reading-period unintended activations, timing where valid, and condition preferences.</w:t>
      </w:r>
    </w:p>
    <w:p w14:paraId="353B3B6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 Study 3, the team will report results separately by rule family, distinguishing preferred behavior, desire for customization, actual configuration use, prediction errors, and reported burden.</w:t>
      </w:r>
    </w:p>
    <w:p w14:paraId="3C630A3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Trials nested within a participant will not be treated as independent participants. Small-sample inferential tests, if reported, will be labeled exploratory. No claim of equivalence will be based on a nonsignificant result. No claim that one condition is universally superior will be based on this sample.</w:t>
      </w:r>
    </w:p>
    <w:p w14:paraId="3E8C402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Interview notes and consented recordings will undergo thematic analysis through repeated review, coding, comparison across participants, and documentation of contradictory cases. Conclusions will distinguish direct observation from participant opinion and researcher interpretation.</w:t>
      </w:r>
    </w:p>
    <w:p w14:paraId="2586771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Skipped tasks, withdrawals, equipment failures, incomplete pairs, and scripted demonstrations will be identified. Results will not be excluded because they are unfavorable. A change required to correct a material system defect will be documented, and affected versions will be reported separately.</w:t>
      </w:r>
    </w:p>
    <w:p w14:paraId="329322B8"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14. Risks and Risk Reduction</w:t>
      </w:r>
    </w:p>
    <w:p w14:paraId="51A7A84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Foreseeable risks include fatigue, temporary hand discomfort, frustration, listening discomfort, and loss of confidentiality.</w:t>
      </w:r>
    </w:p>
    <w:p w14:paraId="27EEEDC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may adjust posture, rest, lower the volume, skip a method, or stop. Gestures will not require forceful movement or sustained exertion. The researcher will stop an activity if the participant reports pain or discomfort.</w:t>
      </w:r>
    </w:p>
    <w:p w14:paraId="1423CFA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The microphone and camera may capture identifiable information. The recording procedures, restricted access, and deletion schedule below will reduce this risk. Participants will be asked to avoid including unnecessary personal information in commands or interviews.</w:t>
      </w:r>
    </w:p>
    <w:p w14:paraId="3CE2A2B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There is no deception about system capability. Scripted demonstrations will be disclosed. Participants will not be told that researcher-generated responses were produced autonomously.</w:t>
      </w:r>
    </w:p>
    <w:p w14:paraId="5D885CC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 direct benefit is guaranteed. The anticipated benefit is improved understanding of accessible braille music interaction.</w:t>
      </w:r>
    </w:p>
    <w:p w14:paraId="535B4D00"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15. Confidentiality, Storage, and Retention</w:t>
      </w:r>
    </w:p>
    <w:p w14:paraId="70A5E0A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Data will be confidential rather than anonymous during collection. Voices, video, contact details, and experiences may identify participants.</w:t>
      </w:r>
    </w:p>
    <w:p w14:paraId="26A73BF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Consent and contact information will be stored separately from coded research data. Access will be restricted to the PI and authorized, trained study personnel.</w:t>
      </w:r>
    </w:p>
    <w:p w14:paraId="78B4EE9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Research processing will use local Whisper, local </w:t>
      </w:r>
      <w:proofErr w:type="spellStart"/>
      <w:r w:rsidRPr="006C2525">
        <w:rPr>
          <w:rFonts w:ascii="Times New Roman" w:eastAsia="Times New Roman" w:hAnsi="Times New Roman" w:cs="Times New Roman"/>
          <w:kern w:val="0"/>
          <w14:ligatures w14:val="none"/>
        </w:rPr>
        <w:t>Ollama</w:t>
      </w:r>
      <w:proofErr w:type="spellEnd"/>
      <w:r w:rsidRPr="006C2525">
        <w:rPr>
          <w:rFonts w:ascii="Times New Roman" w:eastAsia="Times New Roman" w:hAnsi="Times New Roman" w:cs="Times New Roman"/>
          <w:kern w:val="0"/>
          <w14:ligatures w14:val="none"/>
        </w:rPr>
        <w:t xml:space="preserve"> inference, and local speech output. Participant data will not be submitted to cloud language models, external transcription services, or model-training systems under this protocol.</w:t>
      </w:r>
    </w:p>
    <w:p w14:paraId="5030F71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Data will be stored on encrypted, password-protected research devices and an institution-approved secure storage location under PI oversight. Personal file-sharing accounts and public repositories will not contain identifiable research data.</w:t>
      </w:r>
    </w:p>
    <w:p w14:paraId="0184BD2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Unretained operational audio and camera frames will be discarded after processing. Saved task audio, interview audio, and video will be deleted after transcription and coding verification, no later than 90 days after the participant’s final session.</w:t>
      </w:r>
    </w:p>
    <w:p w14:paraId="5C5820D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contact-to-code linkage will be deleted within 30 days after the participant’s final session. Consent records and coded research data will be retained for three years after study completion, then securely deleted or destroyed. Backup copies will follow the same retention plan.</w:t>
      </w:r>
    </w:p>
    <w:p w14:paraId="3BF06BA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Publications may include aggregate results and carefully de-identified quotations. Specific affiliations and unnecessary personal details will be removed. Small-community re-identification risk will be considered when selecting quotations.</w:t>
      </w:r>
    </w:p>
    <w:p w14:paraId="115F275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This protocol does not authorize public release of identifiable audio or video. A later request for public demonstration media would require separate permission and any necessary IRB review.</w:t>
      </w:r>
    </w:p>
    <w:p w14:paraId="0A75BCA8"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16. Withdrawal and Unexpected Events</w:t>
      </w:r>
    </w:p>
    <w:p w14:paraId="61D3306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Participants may stop a recording, skip an activity, withdraw from one study, or decline later studies without penalty.</w:t>
      </w:r>
    </w:p>
    <w:p w14:paraId="7DF4C22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Participants may request deletion of identifiable or linkable research data within 14 days after their final session. After linkage has been removed or results irreversibly aggregated, individual removal may no longer be possible. Consent records may be retained as required for research documentation.</w:t>
      </w:r>
    </w:p>
    <w:p w14:paraId="31C9FB4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Unexpected discomfort, confidentiality incidents, and material deviations will be documented and brought promptly to the PI. The PI will follow Berklee reporting requirements. Affected activities will be suspended when necessary to protect participants.</w:t>
      </w:r>
    </w:p>
    <w:p w14:paraId="2CB8F4C2"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17. Oversight and Research Readiness</w:t>
      </w:r>
    </w:p>
    <w:p w14:paraId="4E9291E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faculty PI will supervise consent, data security, protocol adherence, and reporting. All study personnel will complete current Human Subjects Research training before participant contact.</w:t>
      </w:r>
    </w:p>
    <w:p w14:paraId="67F3A26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Recruitment, screening, and data collection will begin only after written IRB authorization. Researcher-only bench rehearsals will verify instructions, timing, accessibility, and condition behavior before participant sessions.</w:t>
      </w:r>
    </w:p>
    <w:p w14:paraId="08A9592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reference rules, task scripts, settings interface, recording procedures, and implementation-status register will be finalized before use. Material changes to approved procedures, populations, recording, or data handling will be submitted for IRB approval before implementation.</w:t>
      </w:r>
    </w:p>
    <w:p w14:paraId="63CEE970" w14:textId="77777777" w:rsidR="006C2525" w:rsidRPr="006C2525" w:rsidRDefault="006C2525" w:rsidP="006C25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C2525">
        <w:rPr>
          <w:rFonts w:ascii="Times New Roman" w:eastAsia="Times New Roman" w:hAnsi="Times New Roman" w:cs="Times New Roman"/>
          <w:b/>
          <w:bCs/>
          <w:kern w:val="36"/>
          <w:sz w:val="48"/>
          <w:szCs w:val="48"/>
          <w14:ligatures w14:val="none"/>
        </w:rPr>
        <w:t>Appendix A. Recruitment Notice</w:t>
      </w:r>
    </w:p>
    <w:p w14:paraId="13DE6294"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Invitation: Research on Accessible Braille Music Playback</w:t>
      </w:r>
    </w:p>
    <w:p w14:paraId="5578890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Berklee College of Music is inviting adults aged 18 or older who are blind or have low vision and read braille music to participate in research on an interactive music-playback prototype.</w:t>
      </w:r>
    </w:p>
    <w:p w14:paraId="0C2DB36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You may choose one or more activities: a usability study of touch and voice interaction, a comparison of physical buttons and hand gestures, or a study of interaction rules and customization.</w:t>
      </w:r>
    </w:p>
    <w:p w14:paraId="5048326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Study 1 takes approximately 45–60 minutes. Study 2 takes approximately 35–45 minutes. Study 3 takes approximately 80–100 minutes, normally across two visits.</w:t>
      </w:r>
    </w:p>
    <w:p w14:paraId="7CC3B91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Sessions take place at [accessible location]. No financial compensation is planned. Participation is voluntary and has no effect on grades, services, employment, or relationships with Berklee. Audio and video recording are optional.</w:t>
      </w:r>
    </w:p>
    <w:p w14:paraId="7BA1AA3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To ask questions or express interest, contact Jinlan Zhao at [email] or the Principal Investigator, [name and email]. For questions about participant rights, contact </w:t>
      </w:r>
      <w:hyperlink r:id="rId4" w:history="1">
        <w:r w:rsidRPr="006C2525">
          <w:rPr>
            <w:rFonts w:ascii="Times New Roman" w:eastAsia="Times New Roman" w:hAnsi="Times New Roman" w:cs="Times New Roman"/>
            <w:color w:val="0000FF"/>
            <w:kern w:val="0"/>
            <w:u w:val="single"/>
            <w14:ligatures w14:val="none"/>
          </w:rPr>
          <w:t>BerkleeIRB@berklee.edu</w:t>
        </w:r>
      </w:hyperlink>
      <w:r w:rsidRPr="006C2525">
        <w:rPr>
          <w:rFonts w:ascii="Times New Roman" w:eastAsia="Times New Roman" w:hAnsi="Times New Roman" w:cs="Times New Roman"/>
          <w:kern w:val="0"/>
          <w14:ligatures w14:val="none"/>
        </w:rPr>
        <w:t>.</w:t>
      </w:r>
    </w:p>
    <w:p w14:paraId="040BAC44" w14:textId="77777777" w:rsidR="006C2525" w:rsidRPr="006C2525" w:rsidRDefault="006C2525" w:rsidP="006C25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C2525">
        <w:rPr>
          <w:rFonts w:ascii="Times New Roman" w:eastAsia="Times New Roman" w:hAnsi="Times New Roman" w:cs="Times New Roman"/>
          <w:b/>
          <w:bCs/>
          <w:kern w:val="36"/>
          <w:sz w:val="48"/>
          <w:szCs w:val="48"/>
          <w14:ligatures w14:val="none"/>
        </w:rPr>
        <w:lastRenderedPageBreak/>
        <w:t>Appendix B. Participant Information and Consent</w:t>
      </w:r>
    </w:p>
    <w:p w14:paraId="4EDC6DAA"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What is this research?</w:t>
      </w:r>
    </w:p>
    <w:p w14:paraId="7967FF1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We are studying a prototype that connects embossed braille music with musical playback. It uses a camera to identify a selected measure and provides physical, gesture, and voice controls.</w:t>
      </w:r>
    </w:p>
    <w:p w14:paraId="25B27B5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Principal Investigator is [name and contact]. Jinlan Zhao, [contact], is conducting the student research under the PI’s supervision.</w:t>
      </w:r>
    </w:p>
    <w:p w14:paraId="4B317112"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What would I do?</w:t>
      </w:r>
    </w:p>
    <w:p w14:paraId="42CBA48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You may choose one, two, or all three studies. You may use the prototype, compare controls or interaction rules, answer brief questions, and discuss your experience.</w:t>
      </w:r>
    </w:p>
    <w:p w14:paraId="19743CA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Study 1 takes 45–60 minutes. Study 2 takes 35–45 minutes. Study 3 takes 80–100 minutes, normally divided between two visits. Completing all three may require up to four visits and approximately 205 minutes.</w:t>
      </w:r>
    </w:p>
    <w:p w14:paraId="1B4738B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Some proposed features may be demonstrated by the researcher following a script. You will be told when this happens.</w:t>
      </w:r>
    </w:p>
    <w:p w14:paraId="1658B0B6"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Is participation voluntary?</w:t>
      </w:r>
    </w:p>
    <w:p w14:paraId="637FE7D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You may decline, skip questions or tasks, take breaks, or stop without penalty. Your choice will not affect grades, services, employment, or your relationship with Berklee. Joining one study does not require joining another.</w:t>
      </w:r>
    </w:p>
    <w:p w14:paraId="3CEF20D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No payment is planned.</w:t>
      </w:r>
    </w:p>
    <w:p w14:paraId="3CCCA9BC"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What are the risks and benefits?</w:t>
      </w:r>
    </w:p>
    <w:p w14:paraId="129856E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You may experience fatigue, hand discomfort, frustration, or listening discomfort. You may change position, lower the volume, request help, rest, or stop.</w:t>
      </w:r>
    </w:p>
    <w:p w14:paraId="794AD24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There is a risk that research information or recordings could identify you. The team will restrict access and follow the storage and deletion procedures below. There is no guaranteed personal benefit.</w:t>
      </w:r>
    </w:p>
    <w:p w14:paraId="4672D3E0"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What information will be collected?</w:t>
      </w:r>
    </w:p>
    <w:p w14:paraId="3E37149D"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The team will collect task results, system-event logs, command transcripts, brief ratings, interview responses, and researcher notes. Relevant background questions concern braille music experience and access needs.</w:t>
      </w:r>
    </w:p>
    <w:p w14:paraId="621E958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 camera must process images in real time for tracking. The microphone must briefly capture speech for voice commands. These operational inputs are not saved unless you separately agree to a relevant research recording.</w:t>
      </w:r>
    </w:p>
    <w:p w14:paraId="4A5AB18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You can participate without agreeing to saved task audio, interview audio, or video.</w:t>
      </w:r>
    </w:p>
    <w:p w14:paraId="145A952A"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How will my information be protected?</w:t>
      </w:r>
    </w:p>
    <w:p w14:paraId="72193A68"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Contact and consent records will be stored separately from coded research data on encrypted, password-protected devices and institution-approved storage. Only authorized study personnel will have access.</w:t>
      </w:r>
    </w:p>
    <w:p w14:paraId="4CE292E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Speech and language processing will run locally. Your information will not be used to train models or sent to cloud AI services under this protocol.</w:t>
      </w:r>
    </w:p>
    <w:p w14:paraId="2B2B849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Saved audio and video will be deleted after verification, within 90 days of your final session. Contact-to-code linkage will be deleted within 30 days. Consent records and coded research data will be retained for three years after study completion.</w:t>
      </w:r>
    </w:p>
    <w:p w14:paraId="3F89427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Reports may include aggregate findings and de-identified quotations. Identifiable audio or video will not be published under this consent.</w:t>
      </w:r>
    </w:p>
    <w:p w14:paraId="0FC75A8C"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Can I request removal of my data?</w:t>
      </w:r>
    </w:p>
    <w:p w14:paraId="6DE970B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You may request removal of identifiable or linkable research data within 14 days after your final session. After identifying links have been removed or results irreversibly combined, individual removal may no longer be possible.</w:t>
      </w:r>
    </w:p>
    <w:p w14:paraId="2F971898"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Whom can I contact?</w:t>
      </w:r>
    </w:p>
    <w:p w14:paraId="5297448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Research questions: [PI name, email, and telephone] or Jinlan Zhao, [email and telephone].</w:t>
      </w:r>
    </w:p>
    <w:p w14:paraId="102CC98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Questions about research participant rights: </w:t>
      </w:r>
      <w:hyperlink r:id="rId5" w:history="1">
        <w:r w:rsidRPr="006C2525">
          <w:rPr>
            <w:rFonts w:ascii="Times New Roman" w:eastAsia="Times New Roman" w:hAnsi="Times New Roman" w:cs="Times New Roman"/>
            <w:color w:val="0000FF"/>
            <w:kern w:val="0"/>
            <w:u w:val="single"/>
            <w14:ligatures w14:val="none"/>
          </w:rPr>
          <w:t>BerkleeIRB@berklee.edu</w:t>
        </w:r>
      </w:hyperlink>
      <w:r w:rsidRPr="006C2525">
        <w:rPr>
          <w:rFonts w:ascii="Times New Roman" w:eastAsia="Times New Roman" w:hAnsi="Times New Roman" w:cs="Times New Roman"/>
          <w:kern w:val="0"/>
          <w14:ligatures w14:val="none"/>
        </w:rPr>
        <w:t>.</w:t>
      </w:r>
    </w:p>
    <w:p w14:paraId="213D369D"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Consent Choices</w:t>
      </w:r>
    </w:p>
    <w:p w14:paraId="4464D956"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Please indicate a separate answer for each item.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33"/>
        <w:gridCol w:w="1036"/>
      </w:tblGrid>
      <w:tr w:rsidR="006C2525" w:rsidRPr="006C2525" w14:paraId="318C4064" w14:textId="77777777">
        <w:trPr>
          <w:tblCellSpacing w:w="15" w:type="dxa"/>
        </w:trPr>
        <w:tc>
          <w:tcPr>
            <w:tcW w:w="0" w:type="auto"/>
            <w:vAlign w:val="center"/>
            <w:hideMark/>
          </w:tcPr>
          <w:p w14:paraId="6BF289D6"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Choice</w:t>
            </w:r>
          </w:p>
        </w:tc>
        <w:tc>
          <w:tcPr>
            <w:tcW w:w="0" w:type="auto"/>
            <w:vAlign w:val="center"/>
            <w:hideMark/>
          </w:tcPr>
          <w:p w14:paraId="529ECF87" w14:textId="77777777" w:rsidR="006C2525" w:rsidRPr="006C2525" w:rsidRDefault="006C2525" w:rsidP="006C2525">
            <w:pPr>
              <w:spacing w:after="0" w:line="240" w:lineRule="auto"/>
              <w:jc w:val="center"/>
              <w:rPr>
                <w:rFonts w:ascii="Times New Roman" w:eastAsia="Times New Roman" w:hAnsi="Times New Roman" w:cs="Times New Roman"/>
                <w:b/>
                <w:bCs/>
                <w:kern w:val="0"/>
                <w14:ligatures w14:val="none"/>
              </w:rPr>
            </w:pPr>
            <w:r w:rsidRPr="006C2525">
              <w:rPr>
                <w:rFonts w:ascii="Times New Roman" w:eastAsia="Times New Roman" w:hAnsi="Times New Roman" w:cs="Times New Roman"/>
                <w:b/>
                <w:bCs/>
                <w:kern w:val="0"/>
                <w14:ligatures w14:val="none"/>
              </w:rPr>
              <w:t>Response</w:t>
            </w:r>
          </w:p>
        </w:tc>
      </w:tr>
      <w:tr w:rsidR="006C2525" w:rsidRPr="006C2525" w14:paraId="7389DECF" w14:textId="77777777">
        <w:trPr>
          <w:tblCellSpacing w:w="15" w:type="dxa"/>
        </w:trPr>
        <w:tc>
          <w:tcPr>
            <w:tcW w:w="0" w:type="auto"/>
            <w:vAlign w:val="center"/>
            <w:hideMark/>
          </w:tcPr>
          <w:p w14:paraId="6C8F07B4"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eligibility screening.</w:t>
            </w:r>
          </w:p>
        </w:tc>
        <w:tc>
          <w:tcPr>
            <w:tcW w:w="0" w:type="auto"/>
            <w:vAlign w:val="center"/>
            <w:hideMark/>
          </w:tcPr>
          <w:p w14:paraId="46277A4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5C88EE12" w14:textId="77777777">
        <w:trPr>
          <w:tblCellSpacing w:w="15" w:type="dxa"/>
        </w:trPr>
        <w:tc>
          <w:tcPr>
            <w:tcW w:w="0" w:type="auto"/>
            <w:vAlign w:val="center"/>
            <w:hideMark/>
          </w:tcPr>
          <w:p w14:paraId="0B35AB2E"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I agree to participate in Study 1.</w:t>
            </w:r>
          </w:p>
        </w:tc>
        <w:tc>
          <w:tcPr>
            <w:tcW w:w="0" w:type="auto"/>
            <w:vAlign w:val="center"/>
            <w:hideMark/>
          </w:tcPr>
          <w:p w14:paraId="24F4C07B"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75BA7EA3" w14:textId="77777777">
        <w:trPr>
          <w:tblCellSpacing w:w="15" w:type="dxa"/>
        </w:trPr>
        <w:tc>
          <w:tcPr>
            <w:tcW w:w="0" w:type="auto"/>
            <w:vAlign w:val="center"/>
            <w:hideMark/>
          </w:tcPr>
          <w:p w14:paraId="0C221C02"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participate in Study 2.</w:t>
            </w:r>
          </w:p>
        </w:tc>
        <w:tc>
          <w:tcPr>
            <w:tcW w:w="0" w:type="auto"/>
            <w:vAlign w:val="center"/>
            <w:hideMark/>
          </w:tcPr>
          <w:p w14:paraId="139928AF"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0A22C6D0" w14:textId="77777777">
        <w:trPr>
          <w:tblCellSpacing w:w="15" w:type="dxa"/>
        </w:trPr>
        <w:tc>
          <w:tcPr>
            <w:tcW w:w="0" w:type="auto"/>
            <w:vAlign w:val="center"/>
            <w:hideMark/>
          </w:tcPr>
          <w:p w14:paraId="0E9934D8"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participate in Study 3.</w:t>
            </w:r>
          </w:p>
        </w:tc>
        <w:tc>
          <w:tcPr>
            <w:tcW w:w="0" w:type="auto"/>
            <w:vAlign w:val="center"/>
            <w:hideMark/>
          </w:tcPr>
          <w:p w14:paraId="268CFF16"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60441A49" w14:textId="77777777">
        <w:trPr>
          <w:tblCellSpacing w:w="15" w:type="dxa"/>
        </w:trPr>
        <w:tc>
          <w:tcPr>
            <w:tcW w:w="0" w:type="auto"/>
            <w:vAlign w:val="center"/>
            <w:hideMark/>
          </w:tcPr>
          <w:p w14:paraId="7331C88A"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saved task audio.</w:t>
            </w:r>
          </w:p>
        </w:tc>
        <w:tc>
          <w:tcPr>
            <w:tcW w:w="0" w:type="auto"/>
            <w:vAlign w:val="center"/>
            <w:hideMark/>
          </w:tcPr>
          <w:p w14:paraId="57E75210"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03DE70E1" w14:textId="77777777">
        <w:trPr>
          <w:tblCellSpacing w:w="15" w:type="dxa"/>
        </w:trPr>
        <w:tc>
          <w:tcPr>
            <w:tcW w:w="0" w:type="auto"/>
            <w:vAlign w:val="center"/>
            <w:hideMark/>
          </w:tcPr>
          <w:p w14:paraId="2FB140A1"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saved interview audio.</w:t>
            </w:r>
          </w:p>
        </w:tc>
        <w:tc>
          <w:tcPr>
            <w:tcW w:w="0" w:type="auto"/>
            <w:vAlign w:val="center"/>
            <w:hideMark/>
          </w:tcPr>
          <w:p w14:paraId="3E093FB9"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r w:rsidR="006C2525" w:rsidRPr="006C2525" w14:paraId="2E114BD8" w14:textId="77777777">
        <w:trPr>
          <w:tblCellSpacing w:w="15" w:type="dxa"/>
        </w:trPr>
        <w:tc>
          <w:tcPr>
            <w:tcW w:w="0" w:type="auto"/>
            <w:vAlign w:val="center"/>
            <w:hideMark/>
          </w:tcPr>
          <w:p w14:paraId="079D24F5"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agree to saved silent overhead video of my hands, score, and controls.</w:t>
            </w:r>
          </w:p>
        </w:tc>
        <w:tc>
          <w:tcPr>
            <w:tcW w:w="0" w:type="auto"/>
            <w:vAlign w:val="center"/>
            <w:hideMark/>
          </w:tcPr>
          <w:p w14:paraId="329F8DD7" w14:textId="77777777" w:rsidR="006C2525" w:rsidRPr="006C2525" w:rsidRDefault="006C2525" w:rsidP="006C2525">
            <w:pPr>
              <w:spacing w:after="0"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Yes / No</w:t>
            </w:r>
          </w:p>
        </w:tc>
      </w:tr>
    </w:tbl>
    <w:p w14:paraId="68977608"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I have received information in an accessible form, had an opportunity to ask questions, and understand that participation is voluntary.</w:t>
      </w:r>
    </w:p>
    <w:p w14:paraId="1598059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b/>
          <w:bCs/>
          <w:kern w:val="0"/>
          <w14:ligatures w14:val="none"/>
        </w:rPr>
        <w:t>Participant name:</w:t>
      </w:r>
      <w:r w:rsidRPr="006C2525">
        <w:rPr>
          <w:rFonts w:ascii="Times New Roman" w:eastAsia="Times New Roman" w:hAnsi="Times New Roman" w:cs="Times New Roman"/>
          <w:kern w:val="0"/>
          <w14:ligatures w14:val="none"/>
        </w:rPr>
        <w:t xml:space="preserve"> ____________________</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Signature or IRB-approved accessible documentation:</w:t>
      </w:r>
      <w:r w:rsidRPr="006C2525">
        <w:rPr>
          <w:rFonts w:ascii="Times New Roman" w:eastAsia="Times New Roman" w:hAnsi="Times New Roman" w:cs="Times New Roman"/>
          <w:kern w:val="0"/>
          <w14:ligatures w14:val="none"/>
        </w:rPr>
        <w:t xml:space="preserve"> ____________________</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Date:</w:t>
      </w:r>
      <w:r w:rsidRPr="006C2525">
        <w:rPr>
          <w:rFonts w:ascii="Times New Roman" w:eastAsia="Times New Roman" w:hAnsi="Times New Roman" w:cs="Times New Roman"/>
          <w:kern w:val="0"/>
          <w14:ligatures w14:val="none"/>
        </w:rPr>
        <w:t xml:space="preserve"> ____________________</w:t>
      </w:r>
      <w:r w:rsidRPr="006C2525">
        <w:rPr>
          <w:rFonts w:ascii="Times New Roman" w:eastAsia="Times New Roman" w:hAnsi="Times New Roman" w:cs="Times New Roman"/>
          <w:kern w:val="0"/>
          <w14:ligatures w14:val="none"/>
        </w:rPr>
        <w:br/>
      </w:r>
      <w:r w:rsidRPr="006C2525">
        <w:rPr>
          <w:rFonts w:ascii="Times New Roman" w:eastAsia="Times New Roman" w:hAnsi="Times New Roman" w:cs="Times New Roman"/>
          <w:b/>
          <w:bCs/>
          <w:kern w:val="0"/>
          <w14:ligatures w14:val="none"/>
        </w:rPr>
        <w:t>Researcher documenting consent:</w:t>
      </w:r>
      <w:r w:rsidRPr="006C2525">
        <w:rPr>
          <w:rFonts w:ascii="Times New Roman" w:eastAsia="Times New Roman" w:hAnsi="Times New Roman" w:cs="Times New Roman"/>
          <w:kern w:val="0"/>
          <w14:ligatures w14:val="none"/>
        </w:rPr>
        <w:t xml:space="preserve"> ____________________</w:t>
      </w:r>
    </w:p>
    <w:p w14:paraId="041A84C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 copy of this information and the recorded consent choices will be provided to the participant.</w:t>
      </w:r>
    </w:p>
    <w:p w14:paraId="0863F4B3" w14:textId="77777777" w:rsidR="006C2525" w:rsidRPr="006C2525" w:rsidRDefault="006C2525" w:rsidP="006C25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C2525">
        <w:rPr>
          <w:rFonts w:ascii="Times New Roman" w:eastAsia="Times New Roman" w:hAnsi="Times New Roman" w:cs="Times New Roman"/>
          <w:b/>
          <w:bCs/>
          <w:kern w:val="36"/>
          <w:sz w:val="48"/>
          <w:szCs w:val="48"/>
          <w14:ligatures w14:val="none"/>
        </w:rPr>
        <w:t>Appendix C. Standard Questions and Observation Guide</w:t>
      </w:r>
    </w:p>
    <w:p w14:paraId="7DAF31EB"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Background Questions</w:t>
      </w:r>
    </w:p>
    <w:p w14:paraId="451AFBB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consent, the researcher will ask: Are you aged 18 or older? How would you describe your braille music experience? What musical activities do you currently engage in? What playback or music-access tools do you use? What positioning, communication, or access arrangements would help you participate?</w:t>
      </w:r>
    </w:p>
    <w:p w14:paraId="37381C6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Responses may be declined except where needed to establish eligibility or arrange safe participation. Exact birth dates and detailed medical histories will not be requested.</w:t>
      </w:r>
    </w:p>
    <w:p w14:paraId="7EA6BC10"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Condition Ratings</w:t>
      </w:r>
    </w:p>
    <w:p w14:paraId="5D899C6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each relevant condition, participants will answer the following separately using a 1–7 scale:</w:t>
      </w:r>
    </w:p>
    <w:p w14:paraId="03433A73"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“How easy was this method to use?”</w:t>
      </w:r>
      <w:r w:rsidRPr="006C2525">
        <w:rPr>
          <w:rFonts w:ascii="Times New Roman" w:eastAsia="Times New Roman" w:hAnsi="Times New Roman" w:cs="Times New Roman"/>
          <w:kern w:val="0"/>
          <w14:ligatures w14:val="none"/>
        </w:rPr>
        <w:br/>
        <w:t>1 = very difficult; 7 = very easy.</w:t>
      </w:r>
    </w:p>
    <w:p w14:paraId="45260560"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“How much did this method interrupt your reading?”</w:t>
      </w:r>
      <w:r w:rsidRPr="006C2525">
        <w:rPr>
          <w:rFonts w:ascii="Times New Roman" w:eastAsia="Times New Roman" w:hAnsi="Times New Roman" w:cs="Times New Roman"/>
          <w:kern w:val="0"/>
          <w14:ligatures w14:val="none"/>
        </w:rPr>
        <w:br/>
        <w:t>1 = not at all; 7 = very much.</w:t>
      </w:r>
    </w:p>
    <w:p w14:paraId="5EA9052C"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“How much physical effort did this method require?”</w:t>
      </w:r>
      <w:r w:rsidRPr="006C2525">
        <w:rPr>
          <w:rFonts w:ascii="Times New Roman" w:eastAsia="Times New Roman" w:hAnsi="Times New Roman" w:cs="Times New Roman"/>
          <w:kern w:val="0"/>
          <w14:ligatures w14:val="none"/>
        </w:rPr>
        <w:br/>
        <w:t>1 = very little; 7 = very much.</w:t>
      </w:r>
    </w:p>
    <w:p w14:paraId="15385CE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For Study 3 configuration blocks, participants will additionally answer:</w:t>
      </w:r>
    </w:p>
    <w:p w14:paraId="2E50BD5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“How much mental effort did it take to manage the system’s behavior?”</w:t>
      </w:r>
      <w:r w:rsidRPr="006C2525">
        <w:rPr>
          <w:rFonts w:ascii="Times New Roman" w:eastAsia="Times New Roman" w:hAnsi="Times New Roman" w:cs="Times New Roman"/>
          <w:kern w:val="0"/>
          <w14:ligatures w14:val="none"/>
        </w:rPr>
        <w:br/>
        <w:t>1 = very little; 7 = very much.</w:t>
      </w:r>
    </w:p>
    <w:p w14:paraId="6A7BBD7E"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These are study-specific descriptive items, not a validated composite instrument. They will not be combined into a standardized usability score.</w:t>
      </w:r>
    </w:p>
    <w:p w14:paraId="28216849"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Rule Questions</w:t>
      </w:r>
    </w:p>
    <w:p w14:paraId="24AA865F"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Before each rule comparison: “What would you expect the system to do in this situation?”</w:t>
      </w:r>
    </w:p>
    <w:p w14:paraId="3CF1B9C9"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After both behaviors: “Which behavior would you prefer, if either?” “Was anything unexpected?” “Would you want this fixed, saved as your own default, or changed only for individual requests?” “Why?”</w:t>
      </w:r>
    </w:p>
    <w:p w14:paraId="2071349B"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Participants may </w:t>
      </w:r>
      <w:proofErr w:type="gramStart"/>
      <w:r w:rsidRPr="006C2525">
        <w:rPr>
          <w:rFonts w:ascii="Times New Roman" w:eastAsia="Times New Roman" w:hAnsi="Times New Roman" w:cs="Times New Roman"/>
          <w:kern w:val="0"/>
          <w14:ligatures w14:val="none"/>
        </w:rPr>
        <w:t>answer</w:t>
      </w:r>
      <w:proofErr w:type="gramEnd"/>
      <w:r w:rsidRPr="006C2525">
        <w:rPr>
          <w:rFonts w:ascii="Times New Roman" w:eastAsia="Times New Roman" w:hAnsi="Times New Roman" w:cs="Times New Roman"/>
          <w:kern w:val="0"/>
          <w14:ligatures w14:val="none"/>
        </w:rPr>
        <w:t xml:space="preserve"> “it depends,” identify different contexts, or prefer neither option.</w:t>
      </w:r>
    </w:p>
    <w:p w14:paraId="31FBD6F5"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Interview Questions</w:t>
      </w:r>
    </w:p>
    <w:p w14:paraId="257234C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“What was most useful?”</w:t>
      </w:r>
      <w:r w:rsidRPr="006C2525">
        <w:rPr>
          <w:rFonts w:ascii="Times New Roman" w:eastAsia="Times New Roman" w:hAnsi="Times New Roman" w:cs="Times New Roman"/>
          <w:kern w:val="0"/>
          <w14:ligatures w14:val="none"/>
        </w:rPr>
        <w:br/>
        <w:t>“What was difficult or unclear?”</w:t>
      </w:r>
      <w:r w:rsidRPr="006C2525">
        <w:rPr>
          <w:rFonts w:ascii="Times New Roman" w:eastAsia="Times New Roman" w:hAnsi="Times New Roman" w:cs="Times New Roman"/>
          <w:kern w:val="0"/>
          <w14:ligatures w14:val="none"/>
        </w:rPr>
        <w:br/>
        <w:t>“When did you lose your place, and what helped you return?”</w:t>
      </w:r>
      <w:r w:rsidRPr="006C2525">
        <w:rPr>
          <w:rFonts w:ascii="Times New Roman" w:eastAsia="Times New Roman" w:hAnsi="Times New Roman" w:cs="Times New Roman"/>
          <w:kern w:val="0"/>
          <w14:ligatures w14:val="none"/>
        </w:rPr>
        <w:br/>
        <w:t>“What feedback was missing or excessive?”</w:t>
      </w:r>
      <w:r w:rsidRPr="006C2525">
        <w:rPr>
          <w:rFonts w:ascii="Times New Roman" w:eastAsia="Times New Roman" w:hAnsi="Times New Roman" w:cs="Times New Roman"/>
          <w:kern w:val="0"/>
          <w14:ligatures w14:val="none"/>
        </w:rPr>
        <w:br/>
        <w:t>“Which controls would you use during real practice?”</w:t>
      </w:r>
      <w:r w:rsidRPr="006C2525">
        <w:rPr>
          <w:rFonts w:ascii="Times New Roman" w:eastAsia="Times New Roman" w:hAnsi="Times New Roman" w:cs="Times New Roman"/>
          <w:kern w:val="0"/>
          <w14:ligatures w14:val="none"/>
        </w:rPr>
        <w:br/>
        <w:t>“Which settings would you change, and which should the system handle consistently?”</w:t>
      </w:r>
      <w:r w:rsidRPr="006C2525">
        <w:rPr>
          <w:rFonts w:ascii="Times New Roman" w:eastAsia="Times New Roman" w:hAnsi="Times New Roman" w:cs="Times New Roman"/>
          <w:kern w:val="0"/>
          <w14:ligatures w14:val="none"/>
        </w:rPr>
        <w:br/>
        <w:t>“Was there anything important that these tasks did not represent?”</w:t>
      </w:r>
    </w:p>
    <w:p w14:paraId="295F3326" w14:textId="77777777" w:rsidR="006C2525" w:rsidRPr="006C2525" w:rsidRDefault="006C2525" w:rsidP="006C252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6C2525">
        <w:rPr>
          <w:rFonts w:ascii="Times New Roman" w:eastAsia="Times New Roman" w:hAnsi="Times New Roman" w:cs="Times New Roman"/>
          <w:b/>
          <w:bCs/>
          <w:kern w:val="0"/>
          <w:sz w:val="36"/>
          <w:szCs w:val="36"/>
          <w14:ligatures w14:val="none"/>
        </w:rPr>
        <w:t>Closing Statement</w:t>
      </w:r>
    </w:p>
    <w:p w14:paraId="4439FA84"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Thank you for participating. We are evaluating the system, and difficulties help identify what needs improvement. You may ask questions, change your decision about a later study, or request removal of linkable data within 14 days of your final session. Your research and participant-rights contacts are included in your information sheet.</w:t>
      </w:r>
    </w:p>
    <w:p w14:paraId="7F4C7F41" w14:textId="77777777" w:rsidR="006C2525" w:rsidRPr="006C2525" w:rsidRDefault="006C2525" w:rsidP="006C252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C2525">
        <w:rPr>
          <w:rFonts w:ascii="Times New Roman" w:eastAsia="Times New Roman" w:hAnsi="Times New Roman" w:cs="Times New Roman"/>
          <w:b/>
          <w:bCs/>
          <w:kern w:val="36"/>
          <w:sz w:val="48"/>
          <w:szCs w:val="48"/>
          <w14:ligatures w14:val="none"/>
        </w:rPr>
        <w:t>References</w:t>
      </w:r>
    </w:p>
    <w:p w14:paraId="34BAD0A2"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[1] Soares, J. C., et al. (2021). Verification of a Mobile Psychoacoustic Test System. </w:t>
      </w:r>
      <w:r w:rsidRPr="006C2525">
        <w:rPr>
          <w:rFonts w:ascii="Times New Roman" w:eastAsia="Times New Roman" w:hAnsi="Times New Roman" w:cs="Times New Roman"/>
          <w:i/>
          <w:iCs/>
          <w:kern w:val="0"/>
          <w14:ligatures w14:val="none"/>
        </w:rPr>
        <w:t>Audiology Research, 11</w:t>
      </w:r>
      <w:r w:rsidRPr="006C2525">
        <w:rPr>
          <w:rFonts w:ascii="Times New Roman" w:eastAsia="Times New Roman" w:hAnsi="Times New Roman" w:cs="Times New Roman"/>
          <w:kern w:val="0"/>
          <w14:ligatures w14:val="none"/>
        </w:rPr>
        <w:t xml:space="preserve">(4), 673–690. </w:t>
      </w:r>
      <w:hyperlink r:id="rId6" w:history="1">
        <w:r w:rsidRPr="006C2525">
          <w:rPr>
            <w:rFonts w:ascii="Times New Roman" w:eastAsia="Times New Roman" w:hAnsi="Times New Roman" w:cs="Times New Roman"/>
            <w:color w:val="0000FF"/>
            <w:kern w:val="0"/>
            <w:u w:val="single"/>
            <w14:ligatures w14:val="none"/>
          </w:rPr>
          <w:t>https://doi.org/10.3390/audiolres11040061</w:t>
        </w:r>
      </w:hyperlink>
    </w:p>
    <w:p w14:paraId="7DE29F9A"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lastRenderedPageBreak/>
        <w:t xml:space="preserve">[2] </w:t>
      </w:r>
      <w:proofErr w:type="spellStart"/>
      <w:r w:rsidRPr="006C2525">
        <w:rPr>
          <w:rFonts w:ascii="Times New Roman" w:eastAsia="Times New Roman" w:hAnsi="Times New Roman" w:cs="Times New Roman"/>
          <w:kern w:val="0"/>
          <w14:ligatures w14:val="none"/>
        </w:rPr>
        <w:t>Karpodini</w:t>
      </w:r>
      <w:proofErr w:type="spellEnd"/>
      <w:r w:rsidRPr="006C2525">
        <w:rPr>
          <w:rFonts w:ascii="Times New Roman" w:eastAsia="Times New Roman" w:hAnsi="Times New Roman" w:cs="Times New Roman"/>
          <w:kern w:val="0"/>
          <w14:ligatures w14:val="none"/>
        </w:rPr>
        <w:t xml:space="preserve">, C., Michailidis, T., Creed, C., Stockman, T., &amp; Williams, I. (2025). Vibration Or Voice? Enhancing EQ Information Accessibility for Blind Music Producers with Haptics. </w:t>
      </w:r>
      <w:r w:rsidRPr="006C2525">
        <w:rPr>
          <w:rFonts w:ascii="Times New Roman" w:eastAsia="Times New Roman" w:hAnsi="Times New Roman" w:cs="Times New Roman"/>
          <w:i/>
          <w:iCs/>
          <w:kern w:val="0"/>
          <w14:ligatures w14:val="none"/>
        </w:rPr>
        <w:t>Proceedings of the 27th International ACM SIGACCESS Conference on Computers and Accessibility</w:t>
      </w:r>
      <w:r w:rsidRPr="006C2525">
        <w:rPr>
          <w:rFonts w:ascii="Times New Roman" w:eastAsia="Times New Roman" w:hAnsi="Times New Roman" w:cs="Times New Roman"/>
          <w:kern w:val="0"/>
          <w14:ligatures w14:val="none"/>
        </w:rPr>
        <w:t xml:space="preserve">. </w:t>
      </w:r>
      <w:hyperlink r:id="rId7" w:history="1">
        <w:r w:rsidRPr="006C2525">
          <w:rPr>
            <w:rFonts w:ascii="Times New Roman" w:eastAsia="Times New Roman" w:hAnsi="Times New Roman" w:cs="Times New Roman"/>
            <w:color w:val="0000FF"/>
            <w:kern w:val="0"/>
            <w:u w:val="single"/>
            <w14:ligatures w14:val="none"/>
          </w:rPr>
          <w:t>https://doi.org/10.1145/3663547.3746374</w:t>
        </w:r>
      </w:hyperlink>
    </w:p>
    <w:p w14:paraId="7A11E575"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[3] Kane, S. K., </w:t>
      </w:r>
      <w:proofErr w:type="spellStart"/>
      <w:r w:rsidRPr="006C2525">
        <w:rPr>
          <w:rFonts w:ascii="Times New Roman" w:eastAsia="Times New Roman" w:hAnsi="Times New Roman" w:cs="Times New Roman"/>
          <w:kern w:val="0"/>
          <w14:ligatures w14:val="none"/>
        </w:rPr>
        <w:t>Wobbrock</w:t>
      </w:r>
      <w:proofErr w:type="spellEnd"/>
      <w:r w:rsidRPr="006C2525">
        <w:rPr>
          <w:rFonts w:ascii="Times New Roman" w:eastAsia="Times New Roman" w:hAnsi="Times New Roman" w:cs="Times New Roman"/>
          <w:kern w:val="0"/>
          <w14:ligatures w14:val="none"/>
        </w:rPr>
        <w:t xml:space="preserve">, J. O., &amp; Ladner, R. E. (2011). Usable Gestures for Blind People: Understanding Preference and Performance. </w:t>
      </w:r>
      <w:r w:rsidRPr="006C2525">
        <w:rPr>
          <w:rFonts w:ascii="Times New Roman" w:eastAsia="Times New Roman" w:hAnsi="Times New Roman" w:cs="Times New Roman"/>
          <w:i/>
          <w:iCs/>
          <w:kern w:val="0"/>
          <w14:ligatures w14:val="none"/>
        </w:rPr>
        <w:t>Proceedings of the SIGCHI Conference on Human Factors in Computing Systems</w:t>
      </w:r>
      <w:r w:rsidRPr="006C2525">
        <w:rPr>
          <w:rFonts w:ascii="Times New Roman" w:eastAsia="Times New Roman" w:hAnsi="Times New Roman" w:cs="Times New Roman"/>
          <w:kern w:val="0"/>
          <w14:ligatures w14:val="none"/>
        </w:rPr>
        <w:t xml:space="preserve">. </w:t>
      </w:r>
      <w:hyperlink r:id="rId8" w:history="1">
        <w:r w:rsidRPr="006C2525">
          <w:rPr>
            <w:rFonts w:ascii="Times New Roman" w:eastAsia="Times New Roman" w:hAnsi="Times New Roman" w:cs="Times New Roman"/>
            <w:color w:val="0000FF"/>
            <w:kern w:val="0"/>
            <w:u w:val="single"/>
            <w14:ligatures w14:val="none"/>
          </w:rPr>
          <w:t>https://userpages.umbc.edu/~skane/pubs/chi11-gestures.pdf</w:t>
        </w:r>
      </w:hyperlink>
    </w:p>
    <w:p w14:paraId="1B9CA5C7"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[4] Findlater, L., &amp; </w:t>
      </w:r>
      <w:proofErr w:type="spellStart"/>
      <w:r w:rsidRPr="006C2525">
        <w:rPr>
          <w:rFonts w:ascii="Times New Roman" w:eastAsia="Times New Roman" w:hAnsi="Times New Roman" w:cs="Times New Roman"/>
          <w:kern w:val="0"/>
          <w14:ligatures w14:val="none"/>
        </w:rPr>
        <w:t>McGrenere</w:t>
      </w:r>
      <w:proofErr w:type="spellEnd"/>
      <w:r w:rsidRPr="006C2525">
        <w:rPr>
          <w:rFonts w:ascii="Times New Roman" w:eastAsia="Times New Roman" w:hAnsi="Times New Roman" w:cs="Times New Roman"/>
          <w:kern w:val="0"/>
          <w14:ligatures w14:val="none"/>
        </w:rPr>
        <w:t xml:space="preserve">, J. (2004). A Comparison of Static, Adaptive, and Adaptable Menus. </w:t>
      </w:r>
      <w:r w:rsidRPr="006C2525">
        <w:rPr>
          <w:rFonts w:ascii="Times New Roman" w:eastAsia="Times New Roman" w:hAnsi="Times New Roman" w:cs="Times New Roman"/>
          <w:i/>
          <w:iCs/>
          <w:kern w:val="0"/>
          <w14:ligatures w14:val="none"/>
        </w:rPr>
        <w:t>Proceedings of the SIGCHI Conference on Human Factors in Computing Systems</w:t>
      </w:r>
      <w:r w:rsidRPr="006C2525">
        <w:rPr>
          <w:rFonts w:ascii="Times New Roman" w:eastAsia="Times New Roman" w:hAnsi="Times New Roman" w:cs="Times New Roman"/>
          <w:kern w:val="0"/>
          <w14:ligatures w14:val="none"/>
        </w:rPr>
        <w:t xml:space="preserve">. </w:t>
      </w:r>
      <w:hyperlink r:id="rId9" w:history="1">
        <w:r w:rsidRPr="006C2525">
          <w:rPr>
            <w:rFonts w:ascii="Times New Roman" w:eastAsia="Times New Roman" w:hAnsi="Times New Roman" w:cs="Times New Roman"/>
            <w:color w:val="0000FF"/>
            <w:kern w:val="0"/>
            <w:u w:val="single"/>
            <w14:ligatures w14:val="none"/>
          </w:rPr>
          <w:t>https://doi.org/10.1145/985692.985704</w:t>
        </w:r>
      </w:hyperlink>
    </w:p>
    <w:p w14:paraId="639088E6"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[5] International Telecommunication Union. (2015). </w:t>
      </w:r>
      <w:r w:rsidRPr="006C2525">
        <w:rPr>
          <w:rFonts w:ascii="Times New Roman" w:eastAsia="Times New Roman" w:hAnsi="Times New Roman" w:cs="Times New Roman"/>
          <w:i/>
          <w:iCs/>
          <w:kern w:val="0"/>
          <w14:ligatures w14:val="none"/>
        </w:rPr>
        <w:t>Recommendation ITU-R BS.1534-3: Method for the Subjective Assessment of Intermediate Quality Level of Audio Systems</w:t>
      </w:r>
      <w:r w:rsidRPr="006C2525">
        <w:rPr>
          <w:rFonts w:ascii="Times New Roman" w:eastAsia="Times New Roman" w:hAnsi="Times New Roman" w:cs="Times New Roman"/>
          <w:kern w:val="0"/>
          <w14:ligatures w14:val="none"/>
        </w:rPr>
        <w:t xml:space="preserve">. </w:t>
      </w:r>
      <w:hyperlink r:id="rId10" w:history="1">
        <w:r w:rsidRPr="006C2525">
          <w:rPr>
            <w:rFonts w:ascii="Times New Roman" w:eastAsia="Times New Roman" w:hAnsi="Times New Roman" w:cs="Times New Roman"/>
            <w:color w:val="0000FF"/>
            <w:kern w:val="0"/>
            <w:u w:val="single"/>
            <w14:ligatures w14:val="none"/>
          </w:rPr>
          <w:t>https://www.itu.int/rec/R-REC-BS.1534-3-201510-I/en</w:t>
        </w:r>
      </w:hyperlink>
    </w:p>
    <w:p w14:paraId="3AE0D5F1" w14:textId="77777777" w:rsidR="006C2525" w:rsidRPr="006C2525" w:rsidRDefault="006C2525" w:rsidP="006C2525">
      <w:pPr>
        <w:spacing w:before="100" w:beforeAutospacing="1" w:after="100" w:afterAutospacing="1" w:line="240" w:lineRule="auto"/>
        <w:rPr>
          <w:rFonts w:ascii="Times New Roman" w:eastAsia="Times New Roman" w:hAnsi="Times New Roman" w:cs="Times New Roman"/>
          <w:kern w:val="0"/>
          <w14:ligatures w14:val="none"/>
        </w:rPr>
      </w:pPr>
      <w:r w:rsidRPr="006C2525">
        <w:rPr>
          <w:rFonts w:ascii="Times New Roman" w:eastAsia="Times New Roman" w:hAnsi="Times New Roman" w:cs="Times New Roman"/>
          <w:kern w:val="0"/>
          <w14:ligatures w14:val="none"/>
        </w:rPr>
        <w:t xml:space="preserve">[6] </w:t>
      </w:r>
      <w:proofErr w:type="spellStart"/>
      <w:r w:rsidRPr="006C2525">
        <w:rPr>
          <w:rFonts w:ascii="Times New Roman" w:eastAsia="Times New Roman" w:hAnsi="Times New Roman" w:cs="Times New Roman"/>
          <w:kern w:val="0"/>
          <w14:ligatures w14:val="none"/>
        </w:rPr>
        <w:t>Lakens</w:t>
      </w:r>
      <w:proofErr w:type="spellEnd"/>
      <w:r w:rsidRPr="006C2525">
        <w:rPr>
          <w:rFonts w:ascii="Times New Roman" w:eastAsia="Times New Roman" w:hAnsi="Times New Roman" w:cs="Times New Roman"/>
          <w:kern w:val="0"/>
          <w14:ligatures w14:val="none"/>
        </w:rPr>
        <w:t xml:space="preserve">, D. (2022). Sample Size Justification. </w:t>
      </w:r>
      <w:r w:rsidRPr="006C2525">
        <w:rPr>
          <w:rFonts w:ascii="Times New Roman" w:eastAsia="Times New Roman" w:hAnsi="Times New Roman" w:cs="Times New Roman"/>
          <w:i/>
          <w:iCs/>
          <w:kern w:val="0"/>
          <w14:ligatures w14:val="none"/>
        </w:rPr>
        <w:t>Collabra: Psychology, 8</w:t>
      </w:r>
      <w:r w:rsidRPr="006C2525">
        <w:rPr>
          <w:rFonts w:ascii="Times New Roman" w:eastAsia="Times New Roman" w:hAnsi="Times New Roman" w:cs="Times New Roman"/>
          <w:kern w:val="0"/>
          <w14:ligatures w14:val="none"/>
        </w:rPr>
        <w:t xml:space="preserve">(1), 33267. </w:t>
      </w:r>
      <w:hyperlink r:id="rId11" w:history="1">
        <w:r w:rsidRPr="006C2525">
          <w:rPr>
            <w:rFonts w:ascii="Times New Roman" w:eastAsia="Times New Roman" w:hAnsi="Times New Roman" w:cs="Times New Roman"/>
            <w:color w:val="0000FF"/>
            <w:kern w:val="0"/>
            <w:u w:val="single"/>
            <w14:ligatures w14:val="none"/>
          </w:rPr>
          <w:t>https://doi.org/10.1525/collabra.33267</w:t>
        </w:r>
      </w:hyperlink>
    </w:p>
    <w:p w14:paraId="1F437542" w14:textId="77777777" w:rsidR="00233E58" w:rsidRDefault="00233E58"/>
    <w:sectPr w:rsidR="00233E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525"/>
    <w:rsid w:val="000B6872"/>
    <w:rsid w:val="001244FC"/>
    <w:rsid w:val="00233E58"/>
    <w:rsid w:val="004031E3"/>
    <w:rsid w:val="0044535C"/>
    <w:rsid w:val="006927DB"/>
    <w:rsid w:val="006C2525"/>
    <w:rsid w:val="00833B80"/>
    <w:rsid w:val="0099319F"/>
    <w:rsid w:val="00B647EE"/>
    <w:rsid w:val="00C36B0C"/>
    <w:rsid w:val="00CC6103"/>
    <w:rsid w:val="00DF57B6"/>
    <w:rsid w:val="00EC0ABA"/>
    <w:rsid w:val="00F32C52"/>
    <w:rsid w:val="00F505C5"/>
    <w:rsid w:val="00FC38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681F3AA"/>
  <w15:chartTrackingRefBased/>
  <w15:docId w15:val="{B8B42901-D3E3-C149-8623-16E5D396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5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2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Academic">
    <w:name w:val="APA Academic"/>
    <w:basedOn w:val="Normal"/>
    <w:qFormat/>
    <w:rsid w:val="00233E58"/>
    <w:pPr>
      <w:spacing w:line="480" w:lineRule="auto"/>
    </w:pPr>
    <w:rPr>
      <w:rFonts w:ascii="Times New Roman" w:hAnsi="Times New Roman" w:cs="Times New Roman"/>
      <w:bCs/>
    </w:rPr>
  </w:style>
  <w:style w:type="character" w:customStyle="1" w:styleId="Heading1Char">
    <w:name w:val="Heading 1 Char"/>
    <w:basedOn w:val="DefaultParagraphFont"/>
    <w:link w:val="Heading1"/>
    <w:uiPriority w:val="9"/>
    <w:rsid w:val="006C2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5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2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525"/>
    <w:rPr>
      <w:rFonts w:eastAsiaTheme="majorEastAsia" w:cstheme="majorBidi"/>
      <w:color w:val="272727" w:themeColor="text1" w:themeTint="D8"/>
    </w:rPr>
  </w:style>
  <w:style w:type="paragraph" w:styleId="Title">
    <w:name w:val="Title"/>
    <w:basedOn w:val="Normal"/>
    <w:next w:val="Normal"/>
    <w:link w:val="TitleChar"/>
    <w:uiPriority w:val="10"/>
    <w:qFormat/>
    <w:rsid w:val="006C2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525"/>
    <w:pPr>
      <w:spacing w:before="160"/>
      <w:jc w:val="center"/>
    </w:pPr>
    <w:rPr>
      <w:i/>
      <w:iCs/>
      <w:color w:val="404040" w:themeColor="text1" w:themeTint="BF"/>
    </w:rPr>
  </w:style>
  <w:style w:type="character" w:customStyle="1" w:styleId="QuoteChar">
    <w:name w:val="Quote Char"/>
    <w:basedOn w:val="DefaultParagraphFont"/>
    <w:link w:val="Quote"/>
    <w:uiPriority w:val="29"/>
    <w:rsid w:val="006C2525"/>
    <w:rPr>
      <w:i/>
      <w:iCs/>
      <w:color w:val="404040" w:themeColor="text1" w:themeTint="BF"/>
    </w:rPr>
  </w:style>
  <w:style w:type="paragraph" w:styleId="ListParagraph">
    <w:name w:val="List Paragraph"/>
    <w:basedOn w:val="Normal"/>
    <w:uiPriority w:val="34"/>
    <w:qFormat/>
    <w:rsid w:val="006C2525"/>
    <w:pPr>
      <w:ind w:left="720"/>
      <w:contextualSpacing/>
    </w:pPr>
  </w:style>
  <w:style w:type="character" w:styleId="IntenseEmphasis">
    <w:name w:val="Intense Emphasis"/>
    <w:basedOn w:val="DefaultParagraphFont"/>
    <w:uiPriority w:val="21"/>
    <w:qFormat/>
    <w:rsid w:val="006C2525"/>
    <w:rPr>
      <w:i/>
      <w:iCs/>
      <w:color w:val="0F4761" w:themeColor="accent1" w:themeShade="BF"/>
    </w:rPr>
  </w:style>
  <w:style w:type="paragraph" w:styleId="IntenseQuote">
    <w:name w:val="Intense Quote"/>
    <w:basedOn w:val="Normal"/>
    <w:next w:val="Normal"/>
    <w:link w:val="IntenseQuoteChar"/>
    <w:uiPriority w:val="30"/>
    <w:qFormat/>
    <w:rsid w:val="006C2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525"/>
    <w:rPr>
      <w:i/>
      <w:iCs/>
      <w:color w:val="0F4761" w:themeColor="accent1" w:themeShade="BF"/>
    </w:rPr>
  </w:style>
  <w:style w:type="character" w:styleId="IntenseReference">
    <w:name w:val="Intense Reference"/>
    <w:basedOn w:val="DefaultParagraphFont"/>
    <w:uiPriority w:val="32"/>
    <w:qFormat/>
    <w:rsid w:val="006C2525"/>
    <w:rPr>
      <w:b/>
      <w:bCs/>
      <w:smallCaps/>
      <w:color w:val="0F4761" w:themeColor="accent1" w:themeShade="BF"/>
      <w:spacing w:val="5"/>
    </w:rPr>
  </w:style>
  <w:style w:type="paragraph" w:styleId="NormalWeb">
    <w:name w:val="Normal (Web)"/>
    <w:basedOn w:val="Normal"/>
    <w:uiPriority w:val="99"/>
    <w:semiHidden/>
    <w:unhideWhenUsed/>
    <w:rsid w:val="006C252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C2525"/>
    <w:rPr>
      <w:b/>
      <w:bCs/>
    </w:rPr>
  </w:style>
  <w:style w:type="character" w:styleId="Hyperlink">
    <w:name w:val="Hyperlink"/>
    <w:basedOn w:val="DefaultParagraphFont"/>
    <w:uiPriority w:val="99"/>
    <w:semiHidden/>
    <w:unhideWhenUsed/>
    <w:rsid w:val="006C2525"/>
    <w:rPr>
      <w:color w:val="0000FF"/>
      <w:u w:val="single"/>
    </w:rPr>
  </w:style>
  <w:style w:type="character" w:styleId="Emphasis">
    <w:name w:val="Emphasis"/>
    <w:basedOn w:val="DefaultParagraphFont"/>
    <w:uiPriority w:val="20"/>
    <w:qFormat/>
    <w:rsid w:val="006C252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serpages.umbc.edu/~skane/pubs/chi11-gestures.pdf"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doi.org/10.1145/3663547.3746374"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3390/audiolres11040061" TargetMode="External"/><Relationship Id="rId11" Type="http://schemas.openxmlformats.org/officeDocument/2006/relationships/hyperlink" Target="https://doi.org/10.1525/collabra.33267" TargetMode="External"/><Relationship Id="rId5" Type="http://schemas.openxmlformats.org/officeDocument/2006/relationships/hyperlink" Target="mailto:BerkleeIRB@berklee.edu" TargetMode="External"/><Relationship Id="rId10" Type="http://schemas.openxmlformats.org/officeDocument/2006/relationships/hyperlink" Target="https://www.itu.int/rec/R-REC-BS.1534-3-201510-I/en" TargetMode="External"/><Relationship Id="rId4" Type="http://schemas.openxmlformats.org/officeDocument/2006/relationships/hyperlink" Target="mailto:BerkleeIRB@berklee.edu" TargetMode="External"/><Relationship Id="rId9" Type="http://schemas.openxmlformats.org/officeDocument/2006/relationships/hyperlink" Target="https://doi.org/10.1145/985692.9857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18</Pages>
  <Words>5740</Words>
  <Characters>32722</Characters>
  <Application>Microsoft Office Word</Application>
  <DocSecurity>0</DocSecurity>
  <Lines>272</Lines>
  <Paragraphs>76</Paragraphs>
  <ScaleCrop>false</ScaleCrop>
  <Company/>
  <LinksUpToDate>false</LinksUpToDate>
  <CharactersWithSpaces>38386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Jinlan Zhao</dc:creator>
  <cp:keywords/>
  <dc:description/>
  <cp:lastModifiedBy>Jinlan Zhao</cp:lastModifiedBy>
  <cp:revision>14</cp:revision>
  <dcterms:created xsi:type="dcterms:W3CDTF">2026-10-14T18:57:00Z</dcterms:created>
  <dcterms:modified xsi:type="dcterms:W3CDTF">2026-10-14T19:18:00Z</dcterms:modified>
</cp:coreProperties>
</file>