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1521E" w14:textId="77777777" w:rsidR="006C2525" w:rsidRPr="006C2525" w:rsidRDefault="006C2525" w:rsidP="006C25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2525">
        <w:rPr>
          <w:rFonts w:ascii="Times New Roman" w:eastAsia="Times New Roman" w:hAnsi="Times New Roman" w:cs="Times New Roman"/>
          <w:b/>
          <w:bCs/>
          <w:kern w:val="36"/>
          <w:sz w:val="48"/>
          <w:szCs w:val="48"/>
          <w14:ligatures w14:val="none"/>
        </w:rPr>
        <w:t>Research Protocol</w:t>
      </w:r>
    </w:p>
    <w:p w14:paraId="47AC8A0C" w14:textId="77777777" w:rsidR="000B6872" w:rsidRDefault="006C2525" w:rsidP="000B6872">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Touch-</w:t>
      </w:r>
      <w:proofErr w:type="spellStart"/>
      <w:r w:rsidRPr="006C2525">
        <w:rPr>
          <w:rFonts w:ascii="Times New Roman" w:eastAsia="Times New Roman" w:hAnsi="Times New Roman" w:cs="Times New Roman"/>
          <w:b/>
          <w:bCs/>
          <w:kern w:val="0"/>
          <w:sz w:val="36"/>
          <w:szCs w:val="36"/>
          <w14:ligatures w14:val="none"/>
        </w:rPr>
        <w:t>Anored</w:t>
      </w:r>
      <w:proofErr w:type="spellEnd"/>
      <w:r w:rsidRPr="006C2525">
        <w:rPr>
          <w:rFonts w:ascii="Times New Roman" w:eastAsia="Times New Roman" w:hAnsi="Times New Roman" w:cs="Times New Roman"/>
          <w:b/>
          <w:bCs/>
          <w:kern w:val="0"/>
          <w:sz w:val="36"/>
          <w:szCs w:val="36"/>
          <w14:ligatures w14:val="none"/>
        </w:rPr>
        <w:t xml:space="preserve"> Playback and Voice-Controlled Braille Music Access: Usability, Input Methods, and Interaction Customization</w:t>
      </w:r>
    </w:p>
    <w:p w14:paraId="06579739" w14:textId="31E661AD" w:rsidR="006C2525" w:rsidRPr="006C2525" w:rsidRDefault="006C2525" w:rsidP="000B6872">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kern w:val="0"/>
          <w14:ligatures w14:val="none"/>
        </w:rPr>
        <w:br/>
      </w:r>
      <w:r w:rsidRPr="006C2525">
        <w:rPr>
          <w:rFonts w:ascii="Times New Roman" w:eastAsia="Times New Roman" w:hAnsi="Times New Roman" w:cs="Times New Roman"/>
          <w:b/>
          <w:bCs/>
          <w:kern w:val="0"/>
          <w14:ligatures w14:val="none"/>
        </w:rPr>
        <w:t>Date:</w:t>
      </w:r>
      <w:r w:rsidRPr="006C2525">
        <w:rPr>
          <w:rFonts w:ascii="Times New Roman" w:eastAsia="Times New Roman" w:hAnsi="Times New Roman" w:cs="Times New Roman"/>
          <w:kern w:val="0"/>
          <w14:ligatures w14:val="none"/>
        </w:rPr>
        <w:t xml:space="preserve"> October 14, 2026</w:t>
      </w:r>
      <w:r w:rsidRPr="006C2525">
        <w:rPr>
          <w:rFonts w:ascii="Times New Roman" w:eastAsia="Times New Roman" w:hAnsi="Times New Roman" w:cs="Times New Roman"/>
          <w:kern w:val="0"/>
          <w14:ligatures w14:val="none"/>
        </w:rPr>
        <w:br/>
      </w:r>
      <w:r w:rsidRPr="006C2525">
        <w:rPr>
          <w:rFonts w:ascii="Times New Roman" w:eastAsia="Times New Roman" w:hAnsi="Times New Roman" w:cs="Times New Roman"/>
          <w:b/>
          <w:bCs/>
          <w:kern w:val="0"/>
          <w14:ligatures w14:val="none"/>
        </w:rPr>
        <w:t>Institution:</w:t>
      </w:r>
      <w:r w:rsidRPr="006C2525">
        <w:rPr>
          <w:rFonts w:ascii="Times New Roman" w:eastAsia="Times New Roman" w:hAnsi="Times New Roman" w:cs="Times New Roman"/>
          <w:kern w:val="0"/>
          <w14:ligatures w14:val="none"/>
        </w:rPr>
        <w:t xml:space="preserve"> Berklee College of Music</w:t>
      </w:r>
      <w:r w:rsidRPr="006C2525">
        <w:rPr>
          <w:rFonts w:ascii="Times New Roman" w:eastAsia="Times New Roman" w:hAnsi="Times New Roman" w:cs="Times New Roman"/>
          <w:kern w:val="0"/>
          <w14:ligatures w14:val="none"/>
        </w:rPr>
        <w:br/>
      </w:r>
      <w:r w:rsidRPr="006C2525">
        <w:rPr>
          <w:rFonts w:ascii="Times New Roman" w:eastAsia="Times New Roman" w:hAnsi="Times New Roman" w:cs="Times New Roman"/>
          <w:b/>
          <w:bCs/>
          <w:kern w:val="0"/>
          <w14:ligatures w14:val="none"/>
        </w:rPr>
        <w:t>Principal Investigator:</w:t>
      </w:r>
      <w:r w:rsidRPr="006C2525">
        <w:rPr>
          <w:rFonts w:ascii="Times New Roman" w:eastAsia="Times New Roman" w:hAnsi="Times New Roman" w:cs="Times New Roman"/>
          <w:kern w:val="0"/>
          <w14:ligatures w14:val="none"/>
        </w:rPr>
        <w:t xml:space="preserve"> [Faculty advisor’s name, title, department, email</w:t>
      </w:r>
      <w:r>
        <w:rPr>
          <w:rFonts w:ascii="Times New Roman" w:eastAsia="Times New Roman" w:hAnsi="Times New Roman" w:cs="Times New Roman"/>
          <w:kern w:val="0"/>
          <w14:ligatures w14:val="none"/>
        </w:rPr>
        <w:t>]</w:t>
      </w:r>
      <w:r w:rsidRPr="006C2525">
        <w:rPr>
          <w:rFonts w:ascii="Times New Roman" w:eastAsia="Times New Roman" w:hAnsi="Times New Roman" w:cs="Times New Roman"/>
          <w:kern w:val="0"/>
          <w14:ligatures w14:val="none"/>
        </w:rPr>
        <w:br/>
      </w:r>
      <w:r w:rsidRPr="006C2525">
        <w:rPr>
          <w:rFonts w:ascii="Times New Roman" w:eastAsia="Times New Roman" w:hAnsi="Times New Roman" w:cs="Times New Roman"/>
          <w:b/>
          <w:bCs/>
          <w:kern w:val="0"/>
          <w14:ligatures w14:val="none"/>
        </w:rPr>
        <w:t>Student Researcher:</w:t>
      </w:r>
      <w:r w:rsidRPr="006C2525">
        <w:rPr>
          <w:rFonts w:ascii="Times New Roman" w:eastAsia="Times New Roman" w:hAnsi="Times New Roman" w:cs="Times New Roman"/>
          <w:kern w:val="0"/>
          <w14:ligatures w14:val="none"/>
        </w:rPr>
        <w:t xml:space="preserve"> Jinlan Zhao, Electronic Production and Design</w:t>
      </w:r>
      <w:r w:rsidRPr="006C2525">
        <w:rPr>
          <w:rFonts w:ascii="Times New Roman" w:eastAsia="Times New Roman" w:hAnsi="Times New Roman" w:cs="Times New Roman"/>
          <w:kern w:val="0"/>
          <w14:ligatures w14:val="none"/>
        </w:rPr>
        <w:br/>
      </w:r>
      <w:r w:rsidRPr="006C2525">
        <w:rPr>
          <w:rFonts w:ascii="Times New Roman" w:eastAsia="Times New Roman" w:hAnsi="Times New Roman" w:cs="Times New Roman"/>
          <w:b/>
          <w:bCs/>
          <w:kern w:val="0"/>
          <w14:ligatures w14:val="none"/>
        </w:rPr>
        <w:t>Student Researcher Contact:</w:t>
      </w:r>
      <w:r w:rsidRPr="006C2525">
        <w:rPr>
          <w:rFonts w:ascii="Times New Roman" w:eastAsia="Times New Roman" w:hAnsi="Times New Roman" w:cs="Times New Roman"/>
          <w:kern w:val="0"/>
          <w14:ligatures w14:val="none"/>
        </w:rPr>
        <w:t xml:space="preserve"> [Berklee email]</w:t>
      </w:r>
      <w:r w:rsidRPr="006C2525">
        <w:rPr>
          <w:rFonts w:ascii="Times New Roman" w:eastAsia="Times New Roman" w:hAnsi="Times New Roman" w:cs="Times New Roman"/>
          <w:kern w:val="0"/>
          <w14:ligatures w14:val="none"/>
        </w:rPr>
        <w:br/>
      </w:r>
      <w:r w:rsidRPr="006C2525">
        <w:rPr>
          <w:rFonts w:ascii="Times New Roman" w:eastAsia="Times New Roman" w:hAnsi="Times New Roman" w:cs="Times New Roman"/>
          <w:b/>
          <w:bCs/>
          <w:kern w:val="0"/>
          <w14:ligatures w14:val="none"/>
        </w:rPr>
        <w:t>Research Location:</w:t>
      </w:r>
      <w:r w:rsidRPr="006C2525">
        <w:rPr>
          <w:rFonts w:ascii="Times New Roman" w:eastAsia="Times New Roman" w:hAnsi="Times New Roman" w:cs="Times New Roman"/>
          <w:kern w:val="0"/>
          <w14:ligatures w14:val="none"/>
        </w:rPr>
        <w:t xml:space="preserve"> [Accessible room and building], Berklee College of Music, Boston, Massachusetts</w:t>
      </w:r>
      <w:r w:rsidRPr="006C2525">
        <w:rPr>
          <w:rFonts w:ascii="Times New Roman" w:eastAsia="Times New Roman" w:hAnsi="Times New Roman" w:cs="Times New Roman"/>
          <w:kern w:val="0"/>
          <w14:ligatures w14:val="none"/>
        </w:rPr>
        <w:br/>
      </w:r>
      <w:r w:rsidRPr="006C2525">
        <w:rPr>
          <w:rFonts w:ascii="Times New Roman" w:eastAsia="Times New Roman" w:hAnsi="Times New Roman" w:cs="Times New Roman"/>
          <w:b/>
          <w:bCs/>
          <w:kern w:val="0"/>
          <w14:ligatures w14:val="none"/>
        </w:rPr>
        <w:t>Recruitment Start:</w:t>
      </w:r>
      <w:r w:rsidRPr="006C2525">
        <w:rPr>
          <w:rFonts w:ascii="Times New Roman" w:eastAsia="Times New Roman" w:hAnsi="Times New Roman" w:cs="Times New Roman"/>
          <w:kern w:val="0"/>
          <w14:ligatures w14:val="none"/>
        </w:rPr>
        <w:t xml:space="preserve"> After written IRB approval; anticipated date: </w:t>
      </w:r>
      <w:r w:rsidR="006927DB">
        <w:rPr>
          <w:rFonts w:ascii="Times New Roman" w:eastAsia="Times New Roman" w:hAnsi="Times New Roman" w:cs="Times New Roman"/>
          <w:kern w:val="0"/>
          <w14:ligatures w14:val="none"/>
        </w:rPr>
        <w:t xml:space="preserve">November </w:t>
      </w:r>
      <w:r w:rsidR="00F13A41">
        <w:rPr>
          <w:rFonts w:ascii="Times New Roman" w:eastAsia="Times New Roman" w:hAnsi="Times New Roman" w:cs="Times New Roman"/>
          <w:kern w:val="0"/>
          <w14:ligatures w14:val="none"/>
        </w:rPr>
        <w:t>27</w:t>
      </w:r>
      <w:r w:rsidR="006927DB">
        <w:rPr>
          <w:rFonts w:ascii="Times New Roman" w:eastAsia="Times New Roman" w:hAnsi="Times New Roman" w:cs="Times New Roman"/>
          <w:kern w:val="0"/>
          <w14:ligatures w14:val="none"/>
        </w:rPr>
        <w:t xml:space="preserve">, 2026. </w:t>
      </w:r>
      <w:r w:rsidRPr="006C2525">
        <w:rPr>
          <w:rFonts w:ascii="Times New Roman" w:eastAsia="Times New Roman" w:hAnsi="Times New Roman" w:cs="Times New Roman"/>
          <w:kern w:val="0"/>
          <w14:ligatures w14:val="none"/>
        </w:rPr>
        <w:br/>
      </w:r>
      <w:r w:rsidRPr="006C2525">
        <w:rPr>
          <w:rFonts w:ascii="Times New Roman" w:eastAsia="Times New Roman" w:hAnsi="Times New Roman" w:cs="Times New Roman"/>
          <w:b/>
          <w:bCs/>
          <w:kern w:val="0"/>
          <w14:ligatures w14:val="none"/>
        </w:rPr>
        <w:t>Anticipated Research Completion:</w:t>
      </w:r>
      <w:r w:rsidRPr="006C2525">
        <w:rPr>
          <w:rFonts w:ascii="Times New Roman" w:eastAsia="Times New Roman" w:hAnsi="Times New Roman" w:cs="Times New Roman"/>
          <w:kern w:val="0"/>
          <w14:ligatures w14:val="none"/>
        </w:rPr>
        <w:t xml:space="preserve"> </w:t>
      </w:r>
      <w:r w:rsidR="00F13A41">
        <w:rPr>
          <w:rFonts w:ascii="Times New Roman" w:eastAsia="Times New Roman" w:hAnsi="Times New Roman" w:cs="Times New Roman"/>
          <w:kern w:val="0"/>
          <w14:ligatures w14:val="none"/>
        </w:rPr>
        <w:t>January</w:t>
      </w:r>
      <w:r w:rsidR="00F505C5">
        <w:rPr>
          <w:rFonts w:ascii="Times New Roman" w:eastAsia="Times New Roman" w:hAnsi="Times New Roman" w:cs="Times New Roman"/>
          <w:kern w:val="0"/>
          <w14:ligatures w14:val="none"/>
        </w:rPr>
        <w:t xml:space="preserve"> </w:t>
      </w:r>
      <w:r w:rsidR="00F13A41">
        <w:rPr>
          <w:rFonts w:ascii="Times New Roman" w:eastAsia="Times New Roman" w:hAnsi="Times New Roman" w:cs="Times New Roman"/>
          <w:kern w:val="0"/>
          <w14:ligatures w14:val="none"/>
        </w:rPr>
        <w:t>30</w:t>
      </w:r>
      <w:r w:rsidR="00F505C5">
        <w:rPr>
          <w:rFonts w:ascii="Times New Roman" w:eastAsia="Times New Roman" w:hAnsi="Times New Roman" w:cs="Times New Roman"/>
          <w:kern w:val="0"/>
          <w14:ligatures w14:val="none"/>
        </w:rPr>
        <w:t>, 202</w:t>
      </w:r>
      <w:r w:rsidR="00F13A41">
        <w:rPr>
          <w:rFonts w:ascii="Times New Roman" w:eastAsia="Times New Roman" w:hAnsi="Times New Roman" w:cs="Times New Roman"/>
          <w:kern w:val="0"/>
          <w14:ligatures w14:val="none"/>
        </w:rPr>
        <w:t>7</w:t>
      </w:r>
      <w:r w:rsidR="00F505C5">
        <w:rPr>
          <w:rFonts w:ascii="Times New Roman" w:eastAsia="Times New Roman" w:hAnsi="Times New Roman" w:cs="Times New Roman"/>
          <w:kern w:val="0"/>
          <w14:ligatures w14:val="none"/>
        </w:rPr>
        <w:t xml:space="preserve">. </w:t>
      </w:r>
    </w:p>
    <w:p w14:paraId="69511C41"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1. Purpose and Research Questions</w:t>
      </w:r>
    </w:p>
    <w:p w14:paraId="67B5CC71"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This research evaluates an interactive system intended to support blind and low-vision musicians who read embossed braille music. The system identifies the measure selected by a reader’s finger and provides access to synchronized musical playback. Participants can request a Full Mix or selected instrumental Stems, specify a measure range, and resolve ambiguous voice requests.</w:t>
      </w:r>
    </w:p>
    <w:p w14:paraId="4470FB4B"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research comprises three related but separately analyzed studies.</w:t>
      </w:r>
    </w:p>
    <w:p w14:paraId="3D6549D5"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Study 1: Formative Usability.</w:t>
      </w:r>
      <w:r w:rsidRPr="006C2525">
        <w:rPr>
          <w:rFonts w:ascii="Times New Roman" w:eastAsia="Times New Roman" w:hAnsi="Times New Roman" w:cs="Times New Roman"/>
          <w:kern w:val="0"/>
          <w14:ligatures w14:val="none"/>
        </w:rPr>
        <w:t xml:space="preserve"> How do braille music readers use touch-anchored playback and voice-selected Stems? What barriers arise in selecting measures, issuing requests, understanding system behavior, and recovering from errors?</w:t>
      </w:r>
    </w:p>
    <w:p w14:paraId="71CE4532"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Study 2: Buttons versus Gestures.</w:t>
      </w:r>
      <w:r w:rsidRPr="006C2525">
        <w:rPr>
          <w:rFonts w:ascii="Times New Roman" w:eastAsia="Times New Roman" w:hAnsi="Times New Roman" w:cs="Times New Roman"/>
          <w:kern w:val="0"/>
          <w14:ligatures w14:val="none"/>
        </w:rPr>
        <w:t xml:space="preserve"> How do physical buttons and camera-recognized hand gestures compare for equivalent Play and Stop operations? How do these methods affect task completion, unintended activation, interruption of tactile reading, reorientation, comfort, and preference?</w:t>
      </w:r>
    </w:p>
    <w:p w14:paraId="114180A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Study 3: Fixed Defaults versus User Customization.</w:t>
      </w:r>
      <w:r w:rsidRPr="006C2525">
        <w:rPr>
          <w:rFonts w:ascii="Times New Roman" w:eastAsia="Times New Roman" w:hAnsi="Times New Roman" w:cs="Times New Roman"/>
          <w:kern w:val="0"/>
          <w14:ligatures w14:val="none"/>
        </w:rPr>
        <w:t xml:space="preserve"> Which interaction rules do participants understand and prefer, and which should be configurable? Does access to settings provide useful control, introduce additional effort or confusion, or produce different benefits for different rules?</w:t>
      </w:r>
    </w:p>
    <w:p w14:paraId="18F2743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studies are exploratory. They are intended to identify usability barriers and inform design decisions. They do not evaluate clinical outcomes, establish perceptual thresholds, or demonstrate improvements in long-term musical learning.</w:t>
      </w:r>
    </w:p>
    <w:p w14:paraId="286250FB"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lastRenderedPageBreak/>
        <w:t>2. Methodological Rationale</w:t>
      </w:r>
    </w:p>
    <w:p w14:paraId="5EC97A95"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protocol combines task-based usability evaluation, controlled within-participant comparisons, and semi-structured interviews.</w:t>
      </w:r>
    </w:p>
    <w:p w14:paraId="72709851"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Related psychoacoustic research has compared systems within participants while counterbalancing presentation order [1]. Music accessibility research has combined comparison conditions with interviews in a small specialist population [2]. Gesture accessibility research supports evaluating preference and observed performance separately [3]. Research on adaptable interfaces similarly distinguishes actual customization behavior, measured performance, and perceived usefulness [4].</w:t>
      </w:r>
    </w:p>
    <w:p w14:paraId="649054BC" w14:textId="2986206F"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Listening-test principles</w:t>
      </w:r>
      <w:r w:rsidR="00CC6103">
        <w:rPr>
          <w:rFonts w:ascii="Times New Roman" w:eastAsia="Times New Roman" w:hAnsi="Times New Roman" w:cs="Times New Roman"/>
          <w:kern w:val="0"/>
          <w14:ligatures w14:val="none"/>
        </w:rPr>
        <w:t xml:space="preserve">, </w:t>
      </w:r>
      <w:r w:rsidRPr="006C2525">
        <w:rPr>
          <w:rFonts w:ascii="Times New Roman" w:eastAsia="Times New Roman" w:hAnsi="Times New Roman" w:cs="Times New Roman"/>
          <w:kern w:val="0"/>
          <w14:ligatures w14:val="none"/>
        </w:rPr>
        <w:t>including familiarization, consistent reproduction equipment, manageable stimulus duration, and breaks</w:t>
      </w:r>
      <w:r w:rsidR="00CC6103">
        <w:rPr>
          <w:rFonts w:ascii="Times New Roman" w:eastAsia="Times New Roman" w:hAnsi="Times New Roman" w:cs="Times New Roman"/>
          <w:kern w:val="0"/>
          <w14:ligatures w14:val="none"/>
        </w:rPr>
        <w:t xml:space="preserve">, </w:t>
      </w:r>
      <w:r w:rsidRPr="006C2525">
        <w:rPr>
          <w:rFonts w:ascii="Times New Roman" w:eastAsia="Times New Roman" w:hAnsi="Times New Roman" w:cs="Times New Roman"/>
          <w:kern w:val="0"/>
          <w14:ligatures w14:val="none"/>
        </w:rPr>
        <w:t>inform the audio procedures [5]. The present research is not a MUSHRA assessment: participants evaluate interaction behavior rather than audio fidelity.</w:t>
      </w:r>
    </w:p>
    <w:p w14:paraId="100F8D2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Sample size is justified by the exploratory objectives, repeated observations of each participant, and access to a specialized population. It is not based on an assumed universal minimum or a confirmatory power calculation [6].</w:t>
      </w:r>
    </w:p>
    <w:p w14:paraId="3FA62D37"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3. System and Research Materials</w:t>
      </w:r>
    </w:p>
    <w:p w14:paraId="652164FB" w14:textId="2A0A235E"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prototype comprises embossed braille music, a</w:t>
      </w:r>
      <w:r w:rsidR="004031E3">
        <w:rPr>
          <w:rFonts w:ascii="Times New Roman" w:eastAsia="Times New Roman" w:hAnsi="Times New Roman" w:cs="Times New Roman"/>
          <w:kern w:val="0"/>
          <w14:ligatures w14:val="none"/>
        </w:rPr>
        <w:t xml:space="preserve"> web </w:t>
      </w:r>
      <w:r w:rsidRPr="006C2525">
        <w:rPr>
          <w:rFonts w:ascii="Times New Roman" w:eastAsia="Times New Roman" w:hAnsi="Times New Roman" w:cs="Times New Roman"/>
          <w:kern w:val="0"/>
          <w14:ligatures w14:val="none"/>
        </w:rPr>
        <w:t xml:space="preserve">camera, finger and page tracking, physical controls, </w:t>
      </w:r>
      <w:r w:rsidR="004031E3">
        <w:rPr>
          <w:rFonts w:ascii="Times New Roman" w:eastAsia="Times New Roman" w:hAnsi="Times New Roman" w:cs="Times New Roman"/>
          <w:kern w:val="0"/>
          <w14:ligatures w14:val="none"/>
        </w:rPr>
        <w:t>a computer-built-in microphone</w:t>
      </w:r>
      <w:r w:rsidRPr="006C2525">
        <w:rPr>
          <w:rFonts w:ascii="Times New Roman" w:eastAsia="Times New Roman" w:hAnsi="Times New Roman" w:cs="Times New Roman"/>
          <w:kern w:val="0"/>
          <w14:ligatures w14:val="none"/>
        </w:rPr>
        <w:t>, local speech recognition, a local language parser, and a Max/MSP playback system.</w:t>
      </w:r>
    </w:p>
    <w:p w14:paraId="4D2BCE65" w14:textId="1C2A87CF"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 xml:space="preserve">The current development reports describe Whisper-based speech recognition, a Qwen2.5:7b parser running locally through Ollama, and physical push-to-talk recording. Holding </w:t>
      </w:r>
      <w:r w:rsidR="004031E3">
        <w:rPr>
          <w:rFonts w:ascii="Times New Roman" w:eastAsia="Times New Roman" w:hAnsi="Times New Roman" w:cs="Times New Roman"/>
          <w:kern w:val="0"/>
          <w14:ligatures w14:val="none"/>
        </w:rPr>
        <w:t xml:space="preserve">the </w:t>
      </w:r>
      <w:r w:rsidRPr="006C2525">
        <w:rPr>
          <w:rFonts w:ascii="Times New Roman" w:eastAsia="Times New Roman" w:hAnsi="Times New Roman" w:cs="Times New Roman"/>
          <w:kern w:val="0"/>
          <w14:ligatures w14:val="none"/>
        </w:rPr>
        <w:t xml:space="preserve">RECORD </w:t>
      </w:r>
      <w:r w:rsidR="004031E3">
        <w:rPr>
          <w:rFonts w:ascii="Times New Roman" w:eastAsia="Times New Roman" w:hAnsi="Times New Roman" w:cs="Times New Roman"/>
          <w:kern w:val="0"/>
          <w14:ligatures w14:val="none"/>
        </w:rPr>
        <w:t xml:space="preserve">button </w:t>
      </w:r>
      <w:r w:rsidRPr="006C2525">
        <w:rPr>
          <w:rFonts w:ascii="Times New Roman" w:eastAsia="Times New Roman" w:hAnsi="Times New Roman" w:cs="Times New Roman"/>
          <w:kern w:val="0"/>
          <w14:ligatures w14:val="none"/>
        </w:rPr>
        <w:t xml:space="preserve">captures speech; releasing </w:t>
      </w:r>
      <w:r w:rsidR="004031E3">
        <w:rPr>
          <w:rFonts w:ascii="Times New Roman" w:eastAsia="Times New Roman" w:hAnsi="Times New Roman" w:cs="Times New Roman"/>
          <w:kern w:val="0"/>
          <w14:ligatures w14:val="none"/>
        </w:rPr>
        <w:t>the same button</w:t>
      </w:r>
      <w:r w:rsidRPr="006C2525">
        <w:rPr>
          <w:rFonts w:ascii="Times New Roman" w:eastAsia="Times New Roman" w:hAnsi="Times New Roman" w:cs="Times New Roman"/>
          <w:kern w:val="0"/>
          <w14:ligatures w14:val="none"/>
        </w:rPr>
        <w:t xml:space="preserve"> submits the utterance. PLAY initiates Full Mix playback, and STOP stops playback and cancels pending requests. The voice interface also currently accepts specified Full Mix requests.</w:t>
      </w:r>
    </w:p>
    <w:p w14:paraId="2499D109"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gesture prototype uses Closed Fist for Play and Open Palm for Stop. These mappings will be explained and practiced before evaluation.</w:t>
      </w:r>
    </w:p>
    <w:p w14:paraId="3BF4FFAA"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Not all proposed feedback, query, activity-checking, or customization behaviors are currently implemented. Before data collection, each evaluated condition will be identified as either:</w:t>
      </w:r>
    </w:p>
    <w:p w14:paraId="4100FBD8"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Live prototype:</w:t>
      </w:r>
      <w:r w:rsidRPr="006C2525">
        <w:rPr>
          <w:rFonts w:ascii="Times New Roman" w:eastAsia="Times New Roman" w:hAnsi="Times New Roman" w:cs="Times New Roman"/>
          <w:kern w:val="0"/>
          <w14:ligatures w14:val="none"/>
        </w:rPr>
        <w:t xml:space="preserve"> the participant interacts with an implemented system.</w:t>
      </w:r>
    </w:p>
    <w:p w14:paraId="5DCA543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Scripted interactive demonstration:</w:t>
      </w:r>
      <w:r w:rsidRPr="006C2525">
        <w:rPr>
          <w:rFonts w:ascii="Times New Roman" w:eastAsia="Times New Roman" w:hAnsi="Times New Roman" w:cs="Times New Roman"/>
          <w:kern w:val="0"/>
          <w14:ligatures w14:val="none"/>
        </w:rPr>
        <w:t xml:space="preserve"> the researcher follows a predetermined response script to demonstrate a proposed behavior. Participants are explicitly informed when researcher assistance is being used. These trials assess understanding and preference; they will not be reported as evidence of autonomous recognition accuracy or system latency.</w:t>
      </w:r>
    </w:p>
    <w:p w14:paraId="360D145A"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lastRenderedPageBreak/>
        <w:t>Condition implementation status will be recorded for every relevant trial. A comparison of autonomous system performance will be conducted only when both conditions are implemented and verified. Within each paired demonstration, researcher assistance will be matched.</w:t>
      </w:r>
    </w:p>
    <w:p w14:paraId="2ED282C9"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Materials will use the project’s prepared 16-measure score and aligned playback assets. Tasks will require short passages rather than fluent reading of the entire orchestral score. Measure numbering, selected Parts, audio alignment, and note/rest activity used in scenarios will be checked before testing. Activity information will not be inferred by the language model.</w:t>
      </w:r>
    </w:p>
    <w:p w14:paraId="5CF0147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same hardware, playback assets, audio routing, and feedback settings will be used within a comparison except for the variable being evaluated. Software versions and configuration will be recorded and held constant within each comparison cohort.</w:t>
      </w:r>
    </w:p>
    <w:p w14:paraId="014CE81B"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4. Participants and Enrollment</w:t>
      </w:r>
    </w:p>
    <w:p w14:paraId="7E70F7F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Participants will be adults aged 18 or older who identify as blind or low vision and have sufficient braille music experience to work with a short passage. Participants must be able to understand the English study instructions and communicate relevant requests and responses.</w:t>
      </w:r>
    </w:p>
    <w:p w14:paraId="4EE6E79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Eligibility will be based on self-report and an accessible discussion of the study requirements. Medical documentation, a diagnosis of normal hearing, and formal audiometry are not required. Participants may use their usual hearing aids or other personal access supports.</w:t>
      </w:r>
    </w:p>
    <w:p w14:paraId="0B4ED40A"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researcher will discuss positioning, control access, and other accommodations before testing. Difficulty with one input method will not exclude a participant from all studies. A participant unable to use one condition comfortably may skip it; the reason and resulting missing comparison will be documented.</w:t>
      </w:r>
    </w:p>
    <w:p w14:paraId="6A292AB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 xml:space="preserve">Each study will aim to obtain data from </w:t>
      </w:r>
      <w:r w:rsidRPr="006C2525">
        <w:rPr>
          <w:rFonts w:ascii="Times New Roman" w:eastAsia="Times New Roman" w:hAnsi="Times New Roman" w:cs="Times New Roman"/>
          <w:b/>
          <w:bCs/>
          <w:kern w:val="0"/>
          <w14:ligatures w14:val="none"/>
        </w:rPr>
        <w:t>8 participants</w:t>
      </w:r>
      <w:r w:rsidRPr="006C2525">
        <w:rPr>
          <w:rFonts w:ascii="Times New Roman" w:eastAsia="Times New Roman" w:hAnsi="Times New Roman" w:cs="Times New Roman"/>
          <w:kern w:val="0"/>
          <w14:ligatures w14:val="none"/>
        </w:rPr>
        <w:t xml:space="preserve">, with a minimum goal of </w:t>
      </w:r>
      <w:r w:rsidRPr="006C2525">
        <w:rPr>
          <w:rFonts w:ascii="Times New Roman" w:eastAsia="Times New Roman" w:hAnsi="Times New Roman" w:cs="Times New Roman"/>
          <w:b/>
          <w:bCs/>
          <w:kern w:val="0"/>
          <w14:ligatures w14:val="none"/>
        </w:rPr>
        <w:t>6 participants providing analyzable data</w:t>
      </w:r>
      <w:r w:rsidRPr="006C2525">
        <w:rPr>
          <w:rFonts w:ascii="Times New Roman" w:eastAsia="Times New Roman" w:hAnsi="Times New Roman" w:cs="Times New Roman"/>
          <w:kern w:val="0"/>
          <w14:ligatures w14:val="none"/>
        </w:rPr>
        <w:t xml:space="preserve"> and a maximum of </w:t>
      </w:r>
      <w:r w:rsidRPr="006C2525">
        <w:rPr>
          <w:rFonts w:ascii="Times New Roman" w:eastAsia="Times New Roman" w:hAnsi="Times New Roman" w:cs="Times New Roman"/>
          <w:b/>
          <w:bCs/>
          <w:kern w:val="0"/>
          <w14:ligatures w14:val="none"/>
        </w:rPr>
        <w:t>12 enrolled participants per study</w:t>
      </w:r>
      <w:r w:rsidRPr="006C2525">
        <w:rPr>
          <w:rFonts w:ascii="Times New Roman" w:eastAsia="Times New Roman" w:hAnsi="Times New Roman" w:cs="Times New Roman"/>
          <w:kern w:val="0"/>
          <w14:ligatures w14:val="none"/>
        </w:rPr>
        <w:t>. Participants may enroll in one, two, or all three studies.</w:t>
      </w:r>
    </w:p>
    <w:p w14:paraId="4859B42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No more than 36 individuals will consent to screening or research under this protocol, and no more than 36 study enrollments will occur across the three studies. Individuals participating in multiple studies will retain one participant code. Actual unique participant counts, study enrollment counts, withdrawals, and incomplete sessions will be reported separately.</w:t>
      </w:r>
    </w:p>
    <w:p w14:paraId="34623DE6"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Recruitment will end when the target is reached or the approved recruitment period closes, subject to the enrollment limits. Recruitment will not stop because a desirable result or statistical significance has been obtained. If fewer than six analyzable participants are obtained for a study, this limitation will be reported.</w:t>
      </w:r>
    </w:p>
    <w:p w14:paraId="37ED7DB1"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5. Recruitment and Voluntary Participation</w:t>
      </w:r>
    </w:p>
    <w:p w14:paraId="2CFBC0AD"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lastRenderedPageBreak/>
        <w:t>Recruitment will use the approved notice in Appendix A through music accessibility networks, braille music communities, relevant organizations, and permitted Berklee channels. Organizations may distribute the invitation but will not provide private membership information without permission.</w:t>
      </w:r>
    </w:p>
    <w:p w14:paraId="511B6A5D"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Interested individuals will contact the research team directly. Consent to eligibility screening will be obtained before screening questions are asked. Screening will address only age eligibility, relevant braille music experience, communication requirements, access needs, and study interest.</w:t>
      </w:r>
    </w:p>
    <w:p w14:paraId="23CC507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Participants will be asked separately whether they wish to participate in Study 1, Study 2, and Study 3. Participation in one study does not require participation in another. Study 1 is not a prerequisite for Studies 2 or 3.</w:t>
      </w:r>
    </w:p>
    <w:p w14:paraId="7038E26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There is no course-credit requirement or academic penalty associated with participation. Individuals under the direct grading or employment supervision of a research team member will not be recruited by that supervisor. No participation decisions or individual performance results will be shared with instructors or employers.</w:t>
      </w:r>
    </w:p>
    <w:p w14:paraId="5151F064"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No financial compensation is planned under this protocol. Any future compensation arrangement will be submitted to the IRB before it is offered.</w:t>
      </w:r>
    </w:p>
    <w:p w14:paraId="4F8012E8"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6. Consent and Accessibility</w:t>
      </w:r>
    </w:p>
    <w:p w14:paraId="7F621B4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Consent information will be provided in screen-reader-accessible text and read aloud on request. Participants may review it in advance, ask questions, and request an accessible format or additional time.</w:t>
      </w:r>
    </w:p>
    <w:p w14:paraId="71BE750C"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Consent will be documented through an accessible electronic signature or another method specifically approved by the IRB. Visual impairment alone will not be treated as impaired decision-making capacity.</w:t>
      </w:r>
    </w:p>
    <w:p w14:paraId="329D34FD"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Before participation, the researcher will confirm that the participant understands the activities, voluntary nature of participation, recording choices, and right to stop. The researcher will explain that the system is being evaluated and that task difficulties are not a judgment of the participant’s musical ability.</w:t>
      </w:r>
    </w:p>
    <w:p w14:paraId="5406897A"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Consent will separately document study participation and each optional recording category. Necessary real-time camera processing and microphone capture will be distinguished from saving research recordings.</w:t>
      </w:r>
    </w:p>
    <w:p w14:paraId="19D4F6AC"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7. Common Session Procedures</w:t>
      </w:r>
    </w:p>
    <w:p w14:paraId="1A07E6CC"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Sessions will be individual and conducted in an accessible, quiet room. The researcher will orient the participant to the table, score, controls, camera area, and audio equipment. Physical guidance will be offered only with permission.</w:t>
      </w:r>
    </w:p>
    <w:p w14:paraId="3C2DF06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lastRenderedPageBreak/>
        <w:t>Participants will choose a comfortable listening level. Equipment and gain settings will then remain consistent within paired comparisons unless the participant requests an adjustment. Adjustments will be logged. No loudness, hearing-threshold, or aversive-sound testing is included.</w:t>
      </w:r>
    </w:p>
    <w:p w14:paraId="496DA16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Participants will receive standardized instructions and practice. Practice trials will not be included in formal performance summaries. Participants may ask questions during practice. During timed trials, the researcher will avoid coaching unless assistance is requested or needed to prevent discomfort.</w:t>
      </w:r>
    </w:p>
    <w:p w14:paraId="0DD4AB8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Concurrent think-aloud will not be required during timed or listening-focused tasks. Brief retrospective questions will be asked afterward.</w:t>
      </w:r>
    </w:p>
    <w:p w14:paraId="32C62B99"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Participants may pause, skip a task, or end participation at any time. Breaks will be offered at least every 20 minutes and whenever requested. A physical Stop control and researcher intervention will remain available in every condition.</w:t>
      </w:r>
    </w:p>
    <w:p w14:paraId="77834B38"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8. Study 1: Formative Usability</w:t>
      </w:r>
    </w:p>
    <w:p w14:paraId="02E99DDB" w14:textId="77777777" w:rsidR="006C2525" w:rsidRPr="006C2525" w:rsidRDefault="006C2525" w:rsidP="006C2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525">
        <w:rPr>
          <w:rFonts w:ascii="Times New Roman" w:eastAsia="Times New Roman" w:hAnsi="Times New Roman" w:cs="Times New Roman"/>
          <w:b/>
          <w:bCs/>
          <w:kern w:val="0"/>
          <w:sz w:val="27"/>
          <w:szCs w:val="27"/>
          <w14:ligatures w14:val="none"/>
        </w:rPr>
        <w:t>Design and Duration</w:t>
      </w:r>
    </w:p>
    <w:p w14:paraId="57598D6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Study 1 is an individual task-based evaluation followed by an interview. There is no separate control group because this study identifies usability barriers rather than tests comparative efficacy.</w:t>
      </w:r>
    </w:p>
    <w:p w14:paraId="2193C1FB" w14:textId="3C957C69"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 xml:space="preserve">The expected duration is </w:t>
      </w:r>
      <w:r w:rsidR="00EC0ABA">
        <w:rPr>
          <w:rFonts w:ascii="Times New Roman" w:eastAsia="Times New Roman" w:hAnsi="Times New Roman" w:cs="Times New Roman"/>
          <w:kern w:val="0"/>
          <w14:ligatures w14:val="none"/>
        </w:rPr>
        <w:t>20</w:t>
      </w:r>
      <w:r w:rsidRPr="006C2525">
        <w:rPr>
          <w:rFonts w:ascii="Times New Roman" w:eastAsia="Times New Roman" w:hAnsi="Times New Roman" w:cs="Times New Roman"/>
          <w:kern w:val="0"/>
          <w14:ligatures w14:val="none"/>
        </w:rPr>
        <w:t xml:space="preserve"> minutes, with up to </w:t>
      </w:r>
      <w:r w:rsidR="00EC0ABA">
        <w:rPr>
          <w:rFonts w:ascii="Times New Roman" w:eastAsia="Times New Roman" w:hAnsi="Times New Roman" w:cs="Times New Roman"/>
          <w:kern w:val="0"/>
          <w14:ligatures w14:val="none"/>
        </w:rPr>
        <w:t>45</w:t>
      </w:r>
      <w:r w:rsidRPr="006C2525">
        <w:rPr>
          <w:rFonts w:ascii="Times New Roman" w:eastAsia="Times New Roman" w:hAnsi="Times New Roman" w:cs="Times New Roman"/>
          <w:kern w:val="0"/>
          <w14:ligatures w14:val="none"/>
        </w:rPr>
        <w:t xml:space="preserve"> minutes allowed for access needs, additional practice, and breaks.</w:t>
      </w:r>
    </w:p>
    <w:p w14:paraId="3C857ED2" w14:textId="77777777" w:rsidR="006C2525" w:rsidRPr="006C2525" w:rsidRDefault="006C2525" w:rsidP="006C2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525">
        <w:rPr>
          <w:rFonts w:ascii="Times New Roman" w:eastAsia="Times New Roman" w:hAnsi="Times New Roman" w:cs="Times New Roman"/>
          <w:b/>
          <w:bCs/>
          <w:kern w:val="0"/>
          <w:sz w:val="27"/>
          <w:szCs w:val="27"/>
          <w14:ligatures w14:val="none"/>
        </w:rPr>
        <w:t>Procedure</w:t>
      </w:r>
    </w:p>
    <w:p w14:paraId="685F007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After consent, orientation, and practice, participants will complete four task families: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6918"/>
      </w:tblGrid>
      <w:tr w:rsidR="006C2525" w:rsidRPr="006C2525" w14:paraId="07E27C2D" w14:textId="77777777">
        <w:trPr>
          <w:tblCellSpacing w:w="15" w:type="dxa"/>
        </w:trPr>
        <w:tc>
          <w:tcPr>
            <w:tcW w:w="0" w:type="auto"/>
            <w:vAlign w:val="center"/>
            <w:hideMark/>
          </w:tcPr>
          <w:p w14:paraId="1FA12488" w14:textId="77777777" w:rsidR="006C2525" w:rsidRPr="006C2525" w:rsidRDefault="006C2525" w:rsidP="006C2525">
            <w:pPr>
              <w:spacing w:after="0" w:line="240" w:lineRule="auto"/>
              <w:jc w:val="center"/>
              <w:rPr>
                <w:rFonts w:ascii="Times New Roman" w:eastAsia="Times New Roman" w:hAnsi="Times New Roman" w:cs="Times New Roman"/>
                <w:b/>
                <w:bCs/>
                <w:kern w:val="0"/>
                <w14:ligatures w14:val="none"/>
              </w:rPr>
            </w:pPr>
            <w:r w:rsidRPr="006C2525">
              <w:rPr>
                <w:rFonts w:ascii="Times New Roman" w:eastAsia="Times New Roman" w:hAnsi="Times New Roman" w:cs="Times New Roman"/>
                <w:b/>
                <w:bCs/>
                <w:kern w:val="0"/>
                <w14:ligatures w14:val="none"/>
              </w:rPr>
              <w:t>Task family</w:t>
            </w:r>
          </w:p>
        </w:tc>
        <w:tc>
          <w:tcPr>
            <w:tcW w:w="0" w:type="auto"/>
            <w:vAlign w:val="center"/>
            <w:hideMark/>
          </w:tcPr>
          <w:p w14:paraId="04032657" w14:textId="77777777" w:rsidR="006C2525" w:rsidRPr="006C2525" w:rsidRDefault="006C2525" w:rsidP="006C2525">
            <w:pPr>
              <w:spacing w:after="0" w:line="240" w:lineRule="auto"/>
              <w:jc w:val="center"/>
              <w:rPr>
                <w:rFonts w:ascii="Times New Roman" w:eastAsia="Times New Roman" w:hAnsi="Times New Roman" w:cs="Times New Roman"/>
                <w:b/>
                <w:bCs/>
                <w:kern w:val="0"/>
                <w14:ligatures w14:val="none"/>
              </w:rPr>
            </w:pPr>
            <w:r w:rsidRPr="006C2525">
              <w:rPr>
                <w:rFonts w:ascii="Times New Roman" w:eastAsia="Times New Roman" w:hAnsi="Times New Roman" w:cs="Times New Roman"/>
                <w:b/>
                <w:bCs/>
                <w:kern w:val="0"/>
                <w14:ligatures w14:val="none"/>
              </w:rPr>
              <w:t>Standard participant goal</w:t>
            </w:r>
          </w:p>
        </w:tc>
      </w:tr>
      <w:tr w:rsidR="006C2525" w:rsidRPr="006C2525" w14:paraId="083F02AA" w14:textId="77777777" w:rsidTr="00833B80">
        <w:trPr>
          <w:trHeight w:val="432"/>
          <w:tblCellSpacing w:w="15" w:type="dxa"/>
        </w:trPr>
        <w:tc>
          <w:tcPr>
            <w:tcW w:w="0" w:type="auto"/>
            <w:vAlign w:val="center"/>
            <w:hideMark/>
          </w:tcPr>
          <w:p w14:paraId="16C2700A"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Touch selection and Full Mix</w:t>
            </w:r>
          </w:p>
        </w:tc>
        <w:tc>
          <w:tcPr>
            <w:tcW w:w="0" w:type="auto"/>
            <w:vAlign w:val="center"/>
            <w:hideMark/>
          </w:tcPr>
          <w:p w14:paraId="3C50F11F"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Locate a named measure and initiate Full Mix playback from that measure.</w:t>
            </w:r>
          </w:p>
        </w:tc>
      </w:tr>
      <w:tr w:rsidR="006C2525" w:rsidRPr="006C2525" w14:paraId="52BB4EA2" w14:textId="77777777" w:rsidTr="00833B80">
        <w:trPr>
          <w:trHeight w:val="432"/>
          <w:tblCellSpacing w:w="15" w:type="dxa"/>
        </w:trPr>
        <w:tc>
          <w:tcPr>
            <w:tcW w:w="0" w:type="auto"/>
            <w:vAlign w:val="center"/>
            <w:hideMark/>
          </w:tcPr>
          <w:p w14:paraId="7455E369"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Single-Part playback</w:t>
            </w:r>
          </w:p>
        </w:tc>
        <w:tc>
          <w:tcPr>
            <w:tcW w:w="0" w:type="auto"/>
            <w:vAlign w:val="center"/>
            <w:hideMark/>
          </w:tcPr>
          <w:p w14:paraId="1E022111"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Request one named instrumental Part from the selected measure.</w:t>
            </w:r>
          </w:p>
        </w:tc>
      </w:tr>
      <w:tr w:rsidR="006C2525" w:rsidRPr="006C2525" w14:paraId="2468139A" w14:textId="77777777" w:rsidTr="00833B80">
        <w:trPr>
          <w:trHeight w:val="432"/>
          <w:tblCellSpacing w:w="15" w:type="dxa"/>
        </w:trPr>
        <w:tc>
          <w:tcPr>
            <w:tcW w:w="0" w:type="auto"/>
            <w:vAlign w:val="center"/>
            <w:hideMark/>
          </w:tcPr>
          <w:p w14:paraId="76C4854C"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Multiple Parts and range</w:t>
            </w:r>
          </w:p>
        </w:tc>
        <w:tc>
          <w:tcPr>
            <w:tcW w:w="0" w:type="auto"/>
            <w:vAlign w:val="center"/>
            <w:hideMark/>
          </w:tcPr>
          <w:p w14:paraId="6C3ABCC0"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Request two Parts over a specified measure range, then stop playback.</w:t>
            </w:r>
          </w:p>
        </w:tc>
      </w:tr>
      <w:tr w:rsidR="006C2525" w:rsidRPr="006C2525" w14:paraId="4D2D83B8" w14:textId="77777777" w:rsidTr="00833B80">
        <w:trPr>
          <w:trHeight w:val="432"/>
          <w:tblCellSpacing w:w="15" w:type="dxa"/>
        </w:trPr>
        <w:tc>
          <w:tcPr>
            <w:tcW w:w="0" w:type="auto"/>
            <w:vAlign w:val="center"/>
            <w:hideMark/>
          </w:tcPr>
          <w:p w14:paraId="47C4CC8B"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Clarification and recovery</w:t>
            </w:r>
          </w:p>
        </w:tc>
        <w:tc>
          <w:tcPr>
            <w:tcW w:w="0" w:type="auto"/>
            <w:vAlign w:val="center"/>
            <w:hideMark/>
          </w:tcPr>
          <w:p w14:paraId="63E7C2EA"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Resolve an unspecified Part request, revise an intended selection, and cancel a pending request.</w:t>
            </w:r>
          </w:p>
        </w:tc>
      </w:tr>
    </w:tbl>
    <w:p w14:paraId="6622F538"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researcher will state the goal without requiring an exact command sentence. The participant may use natural wording.</w:t>
      </w:r>
    </w:p>
    <w:p w14:paraId="66265B34"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lastRenderedPageBreak/>
        <w:t>Each task will be classified as independently completed, completed with assistance, not completed, or skipped. Incorrect execution, clarification, recognition failure, cancellation, and researcher intervention will be recorded separately.</w:t>
      </w:r>
    </w:p>
    <w:p w14:paraId="6885CF6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interview will address usefulness, confusing behavior, missing feedback, disruption of reading, and desired changes. Features demonstrated through scripts will be identified in the results.</w:t>
      </w:r>
    </w:p>
    <w:p w14:paraId="70718EE2"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9. Study 2: Physical Buttons versus Camera Gestures</w:t>
      </w:r>
    </w:p>
    <w:p w14:paraId="4F835B5A" w14:textId="77777777" w:rsidR="006C2525" w:rsidRPr="006C2525" w:rsidRDefault="006C2525" w:rsidP="006C2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525">
        <w:rPr>
          <w:rFonts w:ascii="Times New Roman" w:eastAsia="Times New Roman" w:hAnsi="Times New Roman" w:cs="Times New Roman"/>
          <w:b/>
          <w:bCs/>
          <w:kern w:val="0"/>
          <w:sz w:val="27"/>
          <w:szCs w:val="27"/>
          <w14:ligatures w14:val="none"/>
        </w:rPr>
        <w:t>Design and Conditions</w:t>
      </w:r>
    </w:p>
    <w:p w14:paraId="7D547112"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Study 2 uses a within-participant comparison:</w:t>
      </w:r>
    </w:p>
    <w:p w14:paraId="2B82B687"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Condition B — Buttons:</w:t>
      </w:r>
      <w:r w:rsidRPr="006C2525">
        <w:rPr>
          <w:rFonts w:ascii="Times New Roman" w:eastAsia="Times New Roman" w:hAnsi="Times New Roman" w:cs="Times New Roman"/>
          <w:kern w:val="0"/>
          <w14:ligatures w14:val="none"/>
        </w:rPr>
        <w:t xml:space="preserve"> PLAY starts Full Mix from the selected measure; STOP stops playback.</w:t>
      </w:r>
    </w:p>
    <w:p w14:paraId="50A11D9A"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Condition G — Gestures:</w:t>
      </w:r>
      <w:r w:rsidRPr="006C2525">
        <w:rPr>
          <w:rFonts w:ascii="Times New Roman" w:eastAsia="Times New Roman" w:hAnsi="Times New Roman" w:cs="Times New Roman"/>
          <w:kern w:val="0"/>
          <w14:ligatures w14:val="none"/>
        </w:rPr>
        <w:t xml:space="preserve"> Closed Fist starts Full Mix from the selected measure; Open Palm stops playback.</w:t>
      </w:r>
    </w:p>
    <w:p w14:paraId="4FF97E8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Both conditions use the same measure-selection policy, musical material, playback engine, audio feedback, and stopping behavior. Automatic gesture recognition will be disabled during the button condition. The physical Stop remains available as an emergency control during the gesture condition.</w:t>
      </w:r>
    </w:p>
    <w:p w14:paraId="3176E15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Participants will be allocated to B–G or G–B using a pre-generated balanced order list. With six participants completing both conditions, three will receive each order. Allocation will remain as balanced as possible if withdrawals occur.</w:t>
      </w:r>
    </w:p>
    <w:p w14:paraId="38B0D06E" w14:textId="77777777" w:rsidR="006C2525" w:rsidRPr="006C2525" w:rsidRDefault="006C2525" w:rsidP="006C2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525">
        <w:rPr>
          <w:rFonts w:ascii="Times New Roman" w:eastAsia="Times New Roman" w:hAnsi="Times New Roman" w:cs="Times New Roman"/>
          <w:b/>
          <w:bCs/>
          <w:kern w:val="0"/>
          <w:sz w:val="27"/>
          <w:szCs w:val="27"/>
          <w14:ligatures w14:val="none"/>
        </w:rPr>
        <w:t>Procedure and Duration</w:t>
      </w:r>
    </w:p>
    <w:p w14:paraId="7238DA68" w14:textId="448D248A"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expected duration is 3</w:t>
      </w:r>
      <w:r w:rsidR="00FC3862">
        <w:rPr>
          <w:rFonts w:ascii="Times New Roman" w:eastAsia="Times New Roman" w:hAnsi="Times New Roman" w:cs="Times New Roman" w:hint="eastAsia"/>
          <w:kern w:val="0"/>
          <w14:ligatures w14:val="none"/>
        </w:rPr>
        <w:t>0</w:t>
      </w:r>
      <w:r w:rsidRPr="006C2525">
        <w:rPr>
          <w:rFonts w:ascii="Times New Roman" w:eastAsia="Times New Roman" w:hAnsi="Times New Roman" w:cs="Times New Roman"/>
          <w:kern w:val="0"/>
          <w14:ligatures w14:val="none"/>
        </w:rPr>
        <w:t>–45 minutes, including practice, two condition blocks, ratings, interview, and breaks.</w:t>
      </w:r>
    </w:p>
    <w:p w14:paraId="0A1FCEC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Each condition contains six short select–play–stop cycles, providing six intended Play and six intended Stop opportunities. Equivalent passage sets will be rotated between conditions to reduce memorization and content effects.</w:t>
      </w:r>
    </w:p>
    <w:p w14:paraId="014D7474"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Each condition also includes a 90-second reading interval during which participants are asked to read without issuing transport commands. This interval provides an opportunity to observe unintended activation during ordinary reading.</w:t>
      </w:r>
    </w:p>
    <w:p w14:paraId="137941C9"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After each condition, participants will rate ease, interruption, and physical effort. After both conditions, they will describe their preference and reasons.</w:t>
      </w:r>
    </w:p>
    <w:p w14:paraId="2DDD85FA" w14:textId="77777777" w:rsidR="006C2525" w:rsidRPr="006C2525" w:rsidRDefault="006C2525" w:rsidP="006C2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525">
        <w:rPr>
          <w:rFonts w:ascii="Times New Roman" w:eastAsia="Times New Roman" w:hAnsi="Times New Roman" w:cs="Times New Roman"/>
          <w:b/>
          <w:bCs/>
          <w:kern w:val="0"/>
          <w:sz w:val="27"/>
          <w:szCs w:val="27"/>
          <w14:ligatures w14:val="none"/>
        </w:rPr>
        <w:lastRenderedPageBreak/>
        <w:t>Outcomes</w:t>
      </w:r>
    </w:p>
    <w:p w14:paraId="26699184"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primary performance outcome is the proportion of intended commands producing the correct action without repetition or researcher assistance.</w:t>
      </w:r>
    </w:p>
    <w:p w14:paraId="3B002DF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Secondary outcomes include missed commands, incorrect commands, repeated attempts, unintended activations during reading, assistance, emergency-stop use, and time required to return to the reading location.</w:t>
      </w:r>
    </w:p>
    <w:p w14:paraId="10EF1C21"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Timing will distinguish task-level completion from system processing. A researcher-marked start cue and playback events will support task timing. Software event timestamps will be labeled as software timings. Acoustic onset or cessation will be reported only when supported by a verified recording method. Reverb decay will be distinguished from cessation of the dry playback signal.</w:t>
      </w:r>
    </w:p>
    <w:p w14:paraId="4016E83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Reorientation will be measured through a participant indication that the location has been found, followed by a brief location check. It will not be inferred solely from hand movement.</w:t>
      </w:r>
    </w:p>
    <w:p w14:paraId="49D86C96"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10. Study 3: Interaction Rules and Customization</w:t>
      </w:r>
    </w:p>
    <w:p w14:paraId="0ECA9D13" w14:textId="77777777" w:rsidR="006C2525" w:rsidRPr="006C2525" w:rsidRDefault="006C2525" w:rsidP="006C2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525">
        <w:rPr>
          <w:rFonts w:ascii="Times New Roman" w:eastAsia="Times New Roman" w:hAnsi="Times New Roman" w:cs="Times New Roman"/>
          <w:b/>
          <w:bCs/>
          <w:kern w:val="0"/>
          <w:sz w:val="27"/>
          <w:szCs w:val="27"/>
          <w14:ligatures w14:val="none"/>
        </w:rPr>
        <w:t>Design and Duration</w:t>
      </w:r>
    </w:p>
    <w:p w14:paraId="0DF88892"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Study 3 has two components: a structured comparison of rule behaviors and a practical evaluation of access to customization.</w:t>
      </w:r>
    </w:p>
    <w:p w14:paraId="129BF207"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All participants will be offered all 14 rule families below. Testing all rule families does not require testing every possible combination of settings.</w:t>
      </w:r>
    </w:p>
    <w:p w14:paraId="03A0B7BC" w14:textId="4F76A09D"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 xml:space="preserve">The expected total duration is </w:t>
      </w:r>
      <w:r w:rsidR="0099319F">
        <w:rPr>
          <w:rFonts w:ascii="Times New Roman" w:eastAsia="Times New Roman" w:hAnsi="Times New Roman" w:cs="Times New Roman" w:hint="eastAsia"/>
          <w:kern w:val="0"/>
          <w14:ligatures w14:val="none"/>
        </w:rPr>
        <w:t>60</w:t>
      </w:r>
      <w:r w:rsidRPr="006C2525">
        <w:rPr>
          <w:rFonts w:ascii="Times New Roman" w:eastAsia="Times New Roman" w:hAnsi="Times New Roman" w:cs="Times New Roman"/>
          <w:kern w:val="0"/>
          <w14:ligatures w14:val="none"/>
        </w:rPr>
        <w:t xml:space="preserve"> minutes</w:t>
      </w:r>
      <w:r w:rsidR="0044535C">
        <w:rPr>
          <w:rFonts w:ascii="SimSun" w:eastAsia="SimSun" w:hAnsi="SimSun" w:cs="SimSun"/>
          <w:kern w:val="0"/>
          <w14:ligatures w14:val="none"/>
        </w:rPr>
        <w:t xml:space="preserve">. </w:t>
      </w:r>
      <w:r w:rsidRPr="006C2525">
        <w:rPr>
          <w:rFonts w:ascii="Times New Roman" w:eastAsia="Times New Roman" w:hAnsi="Times New Roman" w:cs="Times New Roman"/>
          <w:kern w:val="0"/>
          <w14:ligatures w14:val="none"/>
        </w:rPr>
        <w:t>Participants may stop earlier or complete remaining activities on another day.</w:t>
      </w:r>
    </w:p>
    <w:p w14:paraId="47B55BD2" w14:textId="77777777" w:rsidR="006C2525" w:rsidRPr="006C2525" w:rsidRDefault="006C2525" w:rsidP="006C2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525">
        <w:rPr>
          <w:rFonts w:ascii="Times New Roman" w:eastAsia="Times New Roman" w:hAnsi="Times New Roman" w:cs="Times New Roman"/>
          <w:b/>
          <w:bCs/>
          <w:kern w:val="0"/>
          <w:sz w:val="27"/>
          <w:szCs w:val="27"/>
          <w14:ligatures w14:val="none"/>
        </w:rPr>
        <w:t>Part A: Rule Behavior Comparisons</w:t>
      </w:r>
    </w:p>
    <w:p w14:paraId="13906DCB"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For each rule family, participants will experience a reference behavior and a specified alternative using the same underlying scenario. Only the focal rule will change.</w:t>
      </w:r>
    </w:p>
    <w:p w14:paraId="26D0CAC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Before the first demonstration of each rule, participants will be asked what they expect the system to do. After both variants, they will identify their preferred behavior, whether either outcome was surprising, and whether they would want a persistent setting, a temporary override, or a fixed system rule.</w:t>
      </w:r>
    </w:p>
    <w:p w14:paraId="3301144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Reference-first and alternative-first presentation will be balanced across participants. Rules will be grouped into transport, voice/dialogue, and position/feedback modules. Module order will rotate across participants; necessary scenario dependencies will remain intact.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2048"/>
        <w:gridCol w:w="3863"/>
        <w:gridCol w:w="2973"/>
      </w:tblGrid>
      <w:tr w:rsidR="006C2525" w:rsidRPr="006C2525" w14:paraId="699A7C1D" w14:textId="77777777" w:rsidTr="00C36B0C">
        <w:trPr>
          <w:trHeight w:val="576"/>
          <w:tblCellSpacing w:w="15" w:type="dxa"/>
        </w:trPr>
        <w:tc>
          <w:tcPr>
            <w:tcW w:w="0" w:type="auto"/>
            <w:vAlign w:val="center"/>
            <w:hideMark/>
          </w:tcPr>
          <w:p w14:paraId="4B74DB83" w14:textId="77777777" w:rsidR="006C2525" w:rsidRPr="006C2525" w:rsidRDefault="006C2525" w:rsidP="006C2525">
            <w:pPr>
              <w:spacing w:after="0" w:line="240" w:lineRule="auto"/>
              <w:jc w:val="center"/>
              <w:rPr>
                <w:rFonts w:ascii="Times New Roman" w:eastAsia="Times New Roman" w:hAnsi="Times New Roman" w:cs="Times New Roman"/>
                <w:b/>
                <w:bCs/>
                <w:kern w:val="0"/>
                <w14:ligatures w14:val="none"/>
              </w:rPr>
            </w:pPr>
            <w:r w:rsidRPr="006C2525">
              <w:rPr>
                <w:rFonts w:ascii="Times New Roman" w:eastAsia="Times New Roman" w:hAnsi="Times New Roman" w:cs="Times New Roman"/>
                <w:b/>
                <w:bCs/>
                <w:kern w:val="0"/>
                <w14:ligatures w14:val="none"/>
              </w:rPr>
              <w:lastRenderedPageBreak/>
              <w:t>ID</w:t>
            </w:r>
          </w:p>
        </w:tc>
        <w:tc>
          <w:tcPr>
            <w:tcW w:w="0" w:type="auto"/>
            <w:vAlign w:val="center"/>
            <w:hideMark/>
          </w:tcPr>
          <w:p w14:paraId="5D160EFF" w14:textId="77777777" w:rsidR="006C2525" w:rsidRPr="006C2525" w:rsidRDefault="006C2525" w:rsidP="006C2525">
            <w:pPr>
              <w:spacing w:after="0" w:line="240" w:lineRule="auto"/>
              <w:jc w:val="center"/>
              <w:rPr>
                <w:rFonts w:ascii="Times New Roman" w:eastAsia="Times New Roman" w:hAnsi="Times New Roman" w:cs="Times New Roman"/>
                <w:b/>
                <w:bCs/>
                <w:kern w:val="0"/>
                <w14:ligatures w14:val="none"/>
              </w:rPr>
            </w:pPr>
            <w:r w:rsidRPr="006C2525">
              <w:rPr>
                <w:rFonts w:ascii="Times New Roman" w:eastAsia="Times New Roman" w:hAnsi="Times New Roman" w:cs="Times New Roman"/>
                <w:b/>
                <w:bCs/>
                <w:kern w:val="0"/>
                <w14:ligatures w14:val="none"/>
              </w:rPr>
              <w:t>Rule family</w:t>
            </w:r>
          </w:p>
        </w:tc>
        <w:tc>
          <w:tcPr>
            <w:tcW w:w="0" w:type="auto"/>
            <w:vAlign w:val="center"/>
            <w:hideMark/>
          </w:tcPr>
          <w:p w14:paraId="324A47BF" w14:textId="77777777" w:rsidR="006C2525" w:rsidRPr="006C2525" w:rsidRDefault="006C2525" w:rsidP="006C2525">
            <w:pPr>
              <w:spacing w:after="0" w:line="240" w:lineRule="auto"/>
              <w:jc w:val="center"/>
              <w:rPr>
                <w:rFonts w:ascii="Times New Roman" w:eastAsia="Times New Roman" w:hAnsi="Times New Roman" w:cs="Times New Roman"/>
                <w:b/>
                <w:bCs/>
                <w:kern w:val="0"/>
                <w14:ligatures w14:val="none"/>
              </w:rPr>
            </w:pPr>
            <w:r w:rsidRPr="006C2525">
              <w:rPr>
                <w:rFonts w:ascii="Times New Roman" w:eastAsia="Times New Roman" w:hAnsi="Times New Roman" w:cs="Times New Roman"/>
                <w:b/>
                <w:bCs/>
                <w:kern w:val="0"/>
                <w14:ligatures w14:val="none"/>
              </w:rPr>
              <w:t>Reference and principal alternative</w:t>
            </w:r>
          </w:p>
        </w:tc>
        <w:tc>
          <w:tcPr>
            <w:tcW w:w="0" w:type="auto"/>
            <w:vAlign w:val="center"/>
            <w:hideMark/>
          </w:tcPr>
          <w:p w14:paraId="66AF2E92" w14:textId="77777777" w:rsidR="006C2525" w:rsidRPr="006C2525" w:rsidRDefault="006C2525" w:rsidP="006C2525">
            <w:pPr>
              <w:spacing w:after="0" w:line="240" w:lineRule="auto"/>
              <w:jc w:val="center"/>
              <w:rPr>
                <w:rFonts w:ascii="Times New Roman" w:eastAsia="Times New Roman" w:hAnsi="Times New Roman" w:cs="Times New Roman"/>
                <w:b/>
                <w:bCs/>
                <w:kern w:val="0"/>
                <w14:ligatures w14:val="none"/>
              </w:rPr>
            </w:pPr>
            <w:r w:rsidRPr="006C2525">
              <w:rPr>
                <w:rFonts w:ascii="Times New Roman" w:eastAsia="Times New Roman" w:hAnsi="Times New Roman" w:cs="Times New Roman"/>
                <w:b/>
                <w:bCs/>
                <w:kern w:val="0"/>
                <w14:ligatures w14:val="none"/>
              </w:rPr>
              <w:t>Scenario</w:t>
            </w:r>
          </w:p>
        </w:tc>
      </w:tr>
      <w:tr w:rsidR="006C2525" w:rsidRPr="006C2525" w14:paraId="5214E545" w14:textId="77777777" w:rsidTr="00C36B0C">
        <w:trPr>
          <w:trHeight w:val="576"/>
          <w:tblCellSpacing w:w="15" w:type="dxa"/>
        </w:trPr>
        <w:tc>
          <w:tcPr>
            <w:tcW w:w="0" w:type="auto"/>
            <w:vAlign w:val="center"/>
            <w:hideMark/>
          </w:tcPr>
          <w:p w14:paraId="66986602"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R01</w:t>
            </w:r>
          </w:p>
        </w:tc>
        <w:tc>
          <w:tcPr>
            <w:tcW w:w="0" w:type="auto"/>
            <w:vAlign w:val="center"/>
            <w:hideMark/>
          </w:tcPr>
          <w:p w14:paraId="7F8E5621"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Playback access</w:t>
            </w:r>
          </w:p>
        </w:tc>
        <w:tc>
          <w:tcPr>
            <w:tcW w:w="0" w:type="auto"/>
            <w:vAlign w:val="center"/>
            <w:hideMark/>
          </w:tcPr>
          <w:p w14:paraId="128B366A"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PLAY for Full Mix and voice for Stems versus voice access to both, with PLAY retained.</w:t>
            </w:r>
          </w:p>
        </w:tc>
        <w:tc>
          <w:tcPr>
            <w:tcW w:w="0" w:type="auto"/>
            <w:vAlign w:val="center"/>
            <w:hideMark/>
          </w:tcPr>
          <w:p w14:paraId="01B32EBE"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Request Full Mix and then a named Part.</w:t>
            </w:r>
          </w:p>
        </w:tc>
      </w:tr>
      <w:tr w:rsidR="006C2525" w:rsidRPr="006C2525" w14:paraId="0F537F5F" w14:textId="77777777" w:rsidTr="00C36B0C">
        <w:trPr>
          <w:trHeight w:val="576"/>
          <w:tblCellSpacing w:w="15" w:type="dxa"/>
        </w:trPr>
        <w:tc>
          <w:tcPr>
            <w:tcW w:w="0" w:type="auto"/>
            <w:vAlign w:val="center"/>
            <w:hideMark/>
          </w:tcPr>
          <w:p w14:paraId="06AC7565"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R02</w:t>
            </w:r>
          </w:p>
        </w:tc>
        <w:tc>
          <w:tcPr>
            <w:tcW w:w="0" w:type="auto"/>
            <w:vAlign w:val="center"/>
            <w:hideMark/>
          </w:tcPr>
          <w:p w14:paraId="21204855"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Stop ending</w:t>
            </w:r>
          </w:p>
        </w:tc>
        <w:tc>
          <w:tcPr>
            <w:tcW w:w="0" w:type="auto"/>
            <w:vAlign w:val="center"/>
            <w:hideMark/>
          </w:tcPr>
          <w:p w14:paraId="6E83B7E6"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Natural reverb decay versus immediate silence.</w:t>
            </w:r>
          </w:p>
        </w:tc>
        <w:tc>
          <w:tcPr>
            <w:tcW w:w="0" w:type="auto"/>
            <w:vAlign w:val="center"/>
            <w:hideMark/>
          </w:tcPr>
          <w:p w14:paraId="4E32D649"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Stop the same short passage and compare the ending.</w:t>
            </w:r>
          </w:p>
        </w:tc>
      </w:tr>
      <w:tr w:rsidR="006C2525" w:rsidRPr="006C2525" w14:paraId="006D6568" w14:textId="77777777" w:rsidTr="00C36B0C">
        <w:trPr>
          <w:trHeight w:val="576"/>
          <w:tblCellSpacing w:w="15" w:type="dxa"/>
        </w:trPr>
        <w:tc>
          <w:tcPr>
            <w:tcW w:w="0" w:type="auto"/>
            <w:vAlign w:val="center"/>
            <w:hideMark/>
          </w:tcPr>
          <w:p w14:paraId="114A129E"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R03</w:t>
            </w:r>
          </w:p>
        </w:tc>
        <w:tc>
          <w:tcPr>
            <w:tcW w:w="0" w:type="auto"/>
            <w:vAlign w:val="center"/>
            <w:hideMark/>
          </w:tcPr>
          <w:p w14:paraId="61B8E63A"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Recording boundaries</w:t>
            </w:r>
          </w:p>
        </w:tc>
        <w:tc>
          <w:tcPr>
            <w:tcW w:w="0" w:type="auto"/>
            <w:vAlign w:val="center"/>
            <w:hideMark/>
          </w:tcPr>
          <w:p w14:paraId="0D652D12"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Hold RECORD and release to submit versus press once to start and again to submit.</w:t>
            </w:r>
          </w:p>
        </w:tc>
        <w:tc>
          <w:tcPr>
            <w:tcW w:w="0" w:type="auto"/>
            <w:vAlign w:val="center"/>
            <w:hideMark/>
          </w:tcPr>
          <w:p w14:paraId="7D7EB186"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Give a request containing a thinking pause and self-correction.</w:t>
            </w:r>
          </w:p>
        </w:tc>
      </w:tr>
      <w:tr w:rsidR="006C2525" w:rsidRPr="006C2525" w14:paraId="213F8700" w14:textId="77777777" w:rsidTr="00C36B0C">
        <w:trPr>
          <w:trHeight w:val="576"/>
          <w:tblCellSpacing w:w="15" w:type="dxa"/>
        </w:trPr>
        <w:tc>
          <w:tcPr>
            <w:tcW w:w="0" w:type="auto"/>
            <w:vAlign w:val="center"/>
            <w:hideMark/>
          </w:tcPr>
          <w:p w14:paraId="7FD806B1"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R04</w:t>
            </w:r>
          </w:p>
        </w:tc>
        <w:tc>
          <w:tcPr>
            <w:tcW w:w="0" w:type="auto"/>
            <w:vAlign w:val="center"/>
            <w:hideMark/>
          </w:tcPr>
          <w:p w14:paraId="1D85B22F"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Recording during music</w:t>
            </w:r>
          </w:p>
        </w:tc>
        <w:tc>
          <w:tcPr>
            <w:tcW w:w="0" w:type="auto"/>
            <w:vAlign w:val="center"/>
            <w:hideMark/>
          </w:tcPr>
          <w:p w14:paraId="2D117A16"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RECORD automatically stops music versus requiring the participant to stop music before recording can begin.</w:t>
            </w:r>
          </w:p>
        </w:tc>
        <w:tc>
          <w:tcPr>
            <w:tcW w:w="0" w:type="auto"/>
            <w:vAlign w:val="center"/>
            <w:hideMark/>
          </w:tcPr>
          <w:p w14:paraId="12855CA3"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Make a new request while music is playing.</w:t>
            </w:r>
          </w:p>
        </w:tc>
      </w:tr>
      <w:tr w:rsidR="006C2525" w:rsidRPr="006C2525" w14:paraId="637553FA" w14:textId="77777777" w:rsidTr="00C36B0C">
        <w:trPr>
          <w:trHeight w:val="576"/>
          <w:tblCellSpacing w:w="15" w:type="dxa"/>
        </w:trPr>
        <w:tc>
          <w:tcPr>
            <w:tcW w:w="0" w:type="auto"/>
            <w:vAlign w:val="center"/>
            <w:hideMark/>
          </w:tcPr>
          <w:p w14:paraId="1D2ABDCE"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R05</w:t>
            </w:r>
          </w:p>
        </w:tc>
        <w:tc>
          <w:tcPr>
            <w:tcW w:w="0" w:type="auto"/>
            <w:vAlign w:val="center"/>
            <w:hideMark/>
          </w:tcPr>
          <w:p w14:paraId="0BC04129"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Clarification capture</w:t>
            </w:r>
          </w:p>
        </w:tc>
        <w:tc>
          <w:tcPr>
            <w:tcW w:w="0" w:type="auto"/>
            <w:vAlign w:val="center"/>
            <w:hideMark/>
          </w:tcPr>
          <w:p w14:paraId="699073A5"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Hold RECORD to answer versus an explicitly cued, time-limited automatic response window.</w:t>
            </w:r>
          </w:p>
        </w:tc>
        <w:tc>
          <w:tcPr>
            <w:tcW w:w="0" w:type="auto"/>
            <w:vAlign w:val="center"/>
            <w:hideMark/>
          </w:tcPr>
          <w:p w14:paraId="65B17228"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Answer “Flute one, flute two, or both?”</w:t>
            </w:r>
          </w:p>
        </w:tc>
      </w:tr>
      <w:tr w:rsidR="006C2525" w:rsidRPr="006C2525" w14:paraId="3F1995F8" w14:textId="77777777" w:rsidTr="00C36B0C">
        <w:trPr>
          <w:trHeight w:val="576"/>
          <w:tblCellSpacing w:w="15" w:type="dxa"/>
        </w:trPr>
        <w:tc>
          <w:tcPr>
            <w:tcW w:w="0" w:type="auto"/>
            <w:vAlign w:val="center"/>
            <w:hideMark/>
          </w:tcPr>
          <w:p w14:paraId="272389CB"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R06</w:t>
            </w:r>
          </w:p>
        </w:tc>
        <w:tc>
          <w:tcPr>
            <w:tcW w:w="0" w:type="auto"/>
            <w:vAlign w:val="center"/>
            <w:hideMark/>
          </w:tcPr>
          <w:p w14:paraId="196A00C6"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Behavior after a query</w:t>
            </w:r>
          </w:p>
        </w:tc>
        <w:tc>
          <w:tcPr>
            <w:tcW w:w="0" w:type="auto"/>
            <w:vAlign w:val="center"/>
            <w:hideMark/>
          </w:tcPr>
          <w:p w14:paraId="12AC5F1C"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Remain stopped versus resume prior playback after answering.</w:t>
            </w:r>
          </w:p>
        </w:tc>
        <w:tc>
          <w:tcPr>
            <w:tcW w:w="0" w:type="auto"/>
            <w:vAlign w:val="center"/>
            <w:hideMark/>
          </w:tcPr>
          <w:p w14:paraId="79C96AF8"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Ask a position question during playback.</w:t>
            </w:r>
          </w:p>
        </w:tc>
      </w:tr>
      <w:tr w:rsidR="006C2525" w:rsidRPr="006C2525" w14:paraId="49EA1C7C" w14:textId="77777777" w:rsidTr="00C36B0C">
        <w:trPr>
          <w:trHeight w:val="576"/>
          <w:tblCellSpacing w:w="15" w:type="dxa"/>
        </w:trPr>
        <w:tc>
          <w:tcPr>
            <w:tcW w:w="0" w:type="auto"/>
            <w:vAlign w:val="center"/>
            <w:hideMark/>
          </w:tcPr>
          <w:p w14:paraId="539B17E5"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R07</w:t>
            </w:r>
          </w:p>
        </w:tc>
        <w:tc>
          <w:tcPr>
            <w:tcW w:w="0" w:type="auto"/>
            <w:vAlign w:val="center"/>
            <w:hideMark/>
          </w:tcPr>
          <w:p w14:paraId="7FF08CFF"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Unspecified playback length</w:t>
            </w:r>
          </w:p>
        </w:tc>
        <w:tc>
          <w:tcPr>
            <w:tcW w:w="0" w:type="auto"/>
            <w:vAlign w:val="center"/>
            <w:hideMark/>
          </w:tcPr>
          <w:p w14:paraId="4A5E068D"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Play to the end versus a four-measure default.</w:t>
            </w:r>
          </w:p>
        </w:tc>
        <w:tc>
          <w:tcPr>
            <w:tcW w:w="0" w:type="auto"/>
            <w:vAlign w:val="center"/>
            <w:hideMark/>
          </w:tcPr>
          <w:p w14:paraId="142E2911"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Request a Part without stating a duration.</w:t>
            </w:r>
          </w:p>
        </w:tc>
      </w:tr>
      <w:tr w:rsidR="006C2525" w:rsidRPr="006C2525" w14:paraId="3B020ACF" w14:textId="77777777" w:rsidTr="00C36B0C">
        <w:trPr>
          <w:trHeight w:val="576"/>
          <w:tblCellSpacing w:w="15" w:type="dxa"/>
        </w:trPr>
        <w:tc>
          <w:tcPr>
            <w:tcW w:w="0" w:type="auto"/>
            <w:vAlign w:val="center"/>
            <w:hideMark/>
          </w:tcPr>
          <w:p w14:paraId="35539A70"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R08</w:t>
            </w:r>
          </w:p>
        </w:tc>
        <w:tc>
          <w:tcPr>
            <w:tcW w:w="0" w:type="auto"/>
            <w:vAlign w:val="center"/>
            <w:hideMark/>
          </w:tcPr>
          <w:p w14:paraId="635888E9"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Playback announcement</w:t>
            </w:r>
          </w:p>
        </w:tc>
        <w:tc>
          <w:tcPr>
            <w:tcW w:w="0" w:type="auto"/>
            <w:vAlign w:val="center"/>
            <w:hideMark/>
          </w:tcPr>
          <w:p w14:paraId="568944C2"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Announce the starting measure versus announce the measure and selected Parts.</w:t>
            </w:r>
          </w:p>
        </w:tc>
        <w:tc>
          <w:tcPr>
            <w:tcW w:w="0" w:type="auto"/>
            <w:vAlign w:val="center"/>
            <w:hideMark/>
          </w:tcPr>
          <w:p w14:paraId="6B1FB8D1"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Request one Part and then multiple Parts.</w:t>
            </w:r>
          </w:p>
        </w:tc>
      </w:tr>
      <w:tr w:rsidR="006C2525" w:rsidRPr="006C2525" w14:paraId="6862CA08" w14:textId="77777777" w:rsidTr="00C36B0C">
        <w:trPr>
          <w:trHeight w:val="576"/>
          <w:tblCellSpacing w:w="15" w:type="dxa"/>
        </w:trPr>
        <w:tc>
          <w:tcPr>
            <w:tcW w:w="0" w:type="auto"/>
            <w:vAlign w:val="center"/>
            <w:hideMark/>
          </w:tcPr>
          <w:p w14:paraId="58657BCB"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R09</w:t>
            </w:r>
          </w:p>
        </w:tc>
        <w:tc>
          <w:tcPr>
            <w:tcW w:w="0" w:type="auto"/>
            <w:vAlign w:val="center"/>
            <w:hideMark/>
          </w:tcPr>
          <w:p w14:paraId="484AF75B"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Unspecified numbered Part</w:t>
            </w:r>
          </w:p>
        </w:tc>
        <w:tc>
          <w:tcPr>
            <w:tcW w:w="0" w:type="auto"/>
            <w:vAlign w:val="center"/>
            <w:hideMark/>
          </w:tcPr>
          <w:p w14:paraId="7F004B60"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Ask for clarification versus apply a previously selected family-level default.</w:t>
            </w:r>
          </w:p>
        </w:tc>
        <w:tc>
          <w:tcPr>
            <w:tcW w:w="0" w:type="auto"/>
            <w:vAlign w:val="center"/>
            <w:hideMark/>
          </w:tcPr>
          <w:p w14:paraId="4958A29A"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Request “flute” without specifying a Part number.</w:t>
            </w:r>
          </w:p>
        </w:tc>
      </w:tr>
      <w:tr w:rsidR="006C2525" w:rsidRPr="006C2525" w14:paraId="5B205D47" w14:textId="77777777" w:rsidTr="00C36B0C">
        <w:trPr>
          <w:trHeight w:val="576"/>
          <w:tblCellSpacing w:w="15" w:type="dxa"/>
        </w:trPr>
        <w:tc>
          <w:tcPr>
            <w:tcW w:w="0" w:type="auto"/>
            <w:vAlign w:val="center"/>
            <w:hideMark/>
          </w:tcPr>
          <w:p w14:paraId="30ED77D0"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R10</w:t>
            </w:r>
          </w:p>
        </w:tc>
        <w:tc>
          <w:tcPr>
            <w:tcW w:w="0" w:type="auto"/>
            <w:vAlign w:val="center"/>
            <w:hideMark/>
          </w:tcPr>
          <w:p w14:paraId="211A376A"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Meaning of “last location”</w:t>
            </w:r>
          </w:p>
        </w:tc>
        <w:tc>
          <w:tcPr>
            <w:tcW w:w="0" w:type="auto"/>
            <w:vAlign w:val="center"/>
            <w:hideMark/>
          </w:tcPr>
          <w:p w14:paraId="05CC909D"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 xml:space="preserve">Previous </w:t>
            </w:r>
            <w:proofErr w:type="gramStart"/>
            <w:r w:rsidRPr="006C2525">
              <w:rPr>
                <w:rFonts w:ascii="Times New Roman" w:eastAsia="Times New Roman" w:hAnsi="Times New Roman" w:cs="Times New Roman"/>
                <w:kern w:val="0"/>
                <w14:ligatures w14:val="none"/>
              </w:rPr>
              <w:t>playback</w:t>
            </w:r>
            <w:proofErr w:type="gramEnd"/>
            <w:r w:rsidRPr="006C2525">
              <w:rPr>
                <w:rFonts w:ascii="Times New Roman" w:eastAsia="Times New Roman" w:hAnsi="Times New Roman" w:cs="Times New Roman"/>
                <w:kern w:val="0"/>
                <w14:ligatures w14:val="none"/>
              </w:rPr>
              <w:t xml:space="preserve"> start versus previous stopped measure.</w:t>
            </w:r>
          </w:p>
        </w:tc>
        <w:tc>
          <w:tcPr>
            <w:tcW w:w="0" w:type="auto"/>
            <w:vAlign w:val="center"/>
            <w:hideMark/>
          </w:tcPr>
          <w:p w14:paraId="13D485DE"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Begin at measure 5, stop at measure 8, then request the last location.</w:t>
            </w:r>
          </w:p>
        </w:tc>
      </w:tr>
      <w:tr w:rsidR="006C2525" w:rsidRPr="006C2525" w14:paraId="57277576" w14:textId="77777777" w:rsidTr="00C36B0C">
        <w:trPr>
          <w:trHeight w:val="576"/>
          <w:tblCellSpacing w:w="15" w:type="dxa"/>
        </w:trPr>
        <w:tc>
          <w:tcPr>
            <w:tcW w:w="0" w:type="auto"/>
            <w:vAlign w:val="center"/>
            <w:hideMark/>
          </w:tcPr>
          <w:p w14:paraId="03A75F83"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R11</w:t>
            </w:r>
          </w:p>
        </w:tc>
        <w:tc>
          <w:tcPr>
            <w:tcW w:w="0" w:type="auto"/>
            <w:vAlign w:val="center"/>
            <w:hideMark/>
          </w:tcPr>
          <w:p w14:paraId="4707DB96"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Activity-check window</w:t>
            </w:r>
          </w:p>
        </w:tc>
        <w:tc>
          <w:tcPr>
            <w:tcW w:w="0" w:type="auto"/>
            <w:vAlign w:val="center"/>
            <w:hideMark/>
          </w:tcPr>
          <w:p w14:paraId="137FEFC6"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Check the first two requested measures versus the starting measure only.</w:t>
            </w:r>
          </w:p>
        </w:tc>
        <w:tc>
          <w:tcPr>
            <w:tcW w:w="0" w:type="auto"/>
            <w:vAlign w:val="center"/>
            <w:hideMark/>
          </w:tcPr>
          <w:p w14:paraId="2E1E3016"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Request a passage with a verified silent start and a later entry.</w:t>
            </w:r>
          </w:p>
        </w:tc>
      </w:tr>
      <w:tr w:rsidR="006C2525" w:rsidRPr="006C2525" w14:paraId="5E3F2F9D" w14:textId="77777777" w:rsidTr="00C36B0C">
        <w:trPr>
          <w:trHeight w:val="576"/>
          <w:tblCellSpacing w:w="15" w:type="dxa"/>
        </w:trPr>
        <w:tc>
          <w:tcPr>
            <w:tcW w:w="0" w:type="auto"/>
            <w:vAlign w:val="center"/>
            <w:hideMark/>
          </w:tcPr>
          <w:p w14:paraId="1FD215EC"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R12</w:t>
            </w:r>
          </w:p>
        </w:tc>
        <w:tc>
          <w:tcPr>
            <w:tcW w:w="0" w:type="auto"/>
            <w:vAlign w:val="center"/>
            <w:hideMark/>
          </w:tcPr>
          <w:p w14:paraId="599FC158"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Response to a silent checked window</w:t>
            </w:r>
          </w:p>
        </w:tc>
        <w:tc>
          <w:tcPr>
            <w:tcW w:w="0" w:type="auto"/>
            <w:vAlign w:val="center"/>
            <w:hideMark/>
          </w:tcPr>
          <w:p w14:paraId="60C9392A"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Notify and wait versus notify and continue from the requested start.</w:t>
            </w:r>
          </w:p>
        </w:tc>
        <w:tc>
          <w:tcPr>
            <w:tcW w:w="0" w:type="auto"/>
            <w:vAlign w:val="center"/>
            <w:hideMark/>
          </w:tcPr>
          <w:p w14:paraId="22A2E530"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Request a range whose checked opening window is silent.</w:t>
            </w:r>
          </w:p>
        </w:tc>
      </w:tr>
      <w:tr w:rsidR="006C2525" w:rsidRPr="006C2525" w14:paraId="41EABB8C" w14:textId="77777777" w:rsidTr="00C36B0C">
        <w:trPr>
          <w:trHeight w:val="576"/>
          <w:tblCellSpacing w:w="15" w:type="dxa"/>
        </w:trPr>
        <w:tc>
          <w:tcPr>
            <w:tcW w:w="0" w:type="auto"/>
            <w:vAlign w:val="center"/>
            <w:hideMark/>
          </w:tcPr>
          <w:p w14:paraId="39127752"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R13</w:t>
            </w:r>
          </w:p>
        </w:tc>
        <w:tc>
          <w:tcPr>
            <w:tcW w:w="0" w:type="auto"/>
            <w:vAlign w:val="center"/>
            <w:hideMark/>
          </w:tcPr>
          <w:p w14:paraId="1478641A"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Position feedback</w:t>
            </w:r>
          </w:p>
        </w:tc>
        <w:tc>
          <w:tcPr>
            <w:tcW w:w="0" w:type="auto"/>
            <w:vAlign w:val="center"/>
            <w:hideMark/>
          </w:tcPr>
          <w:p w14:paraId="69A4EEB8"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Announce position on request versus announce each stable measure change.</w:t>
            </w:r>
          </w:p>
        </w:tc>
        <w:tc>
          <w:tcPr>
            <w:tcW w:w="0" w:type="auto"/>
            <w:vAlign w:val="center"/>
            <w:hideMark/>
          </w:tcPr>
          <w:p w14:paraId="7766E84D"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Read across several measures and query position.</w:t>
            </w:r>
          </w:p>
        </w:tc>
      </w:tr>
      <w:tr w:rsidR="006C2525" w:rsidRPr="006C2525" w14:paraId="3BAD7E4A" w14:textId="77777777" w:rsidTr="00C36B0C">
        <w:trPr>
          <w:trHeight w:val="576"/>
          <w:tblCellSpacing w:w="15" w:type="dxa"/>
        </w:trPr>
        <w:tc>
          <w:tcPr>
            <w:tcW w:w="0" w:type="auto"/>
            <w:vAlign w:val="center"/>
            <w:hideMark/>
          </w:tcPr>
          <w:p w14:paraId="6529C126"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R14</w:t>
            </w:r>
          </w:p>
        </w:tc>
        <w:tc>
          <w:tcPr>
            <w:tcW w:w="0" w:type="auto"/>
            <w:vAlign w:val="center"/>
            <w:hideMark/>
          </w:tcPr>
          <w:p w14:paraId="0DE3C01A"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Position anchor</w:t>
            </w:r>
          </w:p>
        </w:tc>
        <w:tc>
          <w:tcPr>
            <w:tcW w:w="0" w:type="auto"/>
            <w:vAlign w:val="center"/>
            <w:hideMark/>
          </w:tcPr>
          <w:p w14:paraId="754D4B22"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Freeze the selected measure when RECORD begins versus use the measure selected at submission.</w:t>
            </w:r>
          </w:p>
        </w:tc>
        <w:tc>
          <w:tcPr>
            <w:tcW w:w="0" w:type="auto"/>
            <w:vAlign w:val="center"/>
            <w:hideMark/>
          </w:tcPr>
          <w:p w14:paraId="31483F34"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Move from measure 5 to measure 7 while giving a request without an explicit start.</w:t>
            </w:r>
          </w:p>
        </w:tc>
      </w:tr>
    </w:tbl>
    <w:p w14:paraId="09D2B2E7"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lastRenderedPageBreak/>
        <w:t>For R07, the customization phase will additionally offer one- and two-measure defaults. For R08, it will offer no ordinary pre-playback announcement. For R09, participants may select a numbered Part or all Parts within the specified Instrument family. For R11, a further option will inspect through the next verified entry within the requested range. For R12, an additional option will offer a skip that requires explicit confirmation.</w:t>
      </w:r>
    </w:p>
    <w:p w14:paraId="73260F79"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These options will be demonstrated when selected. They will not generate an exhaustive factorial experiment.</w:t>
      </w:r>
    </w:p>
    <w:p w14:paraId="162C80B5" w14:textId="77777777" w:rsidR="006C2525" w:rsidRPr="006C2525" w:rsidRDefault="006C2525" w:rsidP="006C2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525">
        <w:rPr>
          <w:rFonts w:ascii="Times New Roman" w:eastAsia="Times New Roman" w:hAnsi="Times New Roman" w:cs="Times New Roman"/>
          <w:b/>
          <w:bCs/>
          <w:kern w:val="0"/>
          <w:sz w:val="27"/>
          <w:szCs w:val="27"/>
          <w14:ligatures w14:val="none"/>
        </w:rPr>
        <w:t>Part B: Fixed and Configurable Conditions</w:t>
      </w:r>
    </w:p>
    <w:p w14:paraId="44525AD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After familiarization with the rules, participants will complete two matched four-task blocks:</w:t>
      </w:r>
    </w:p>
    <w:p w14:paraId="267502EB"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Fixed condition:</w:t>
      </w:r>
      <w:r w:rsidRPr="006C2525">
        <w:rPr>
          <w:rFonts w:ascii="Times New Roman" w:eastAsia="Times New Roman" w:hAnsi="Times New Roman" w:cs="Times New Roman"/>
          <w:kern w:val="0"/>
          <w14:ligatures w14:val="none"/>
        </w:rPr>
        <w:t xml:space="preserve"> the system uses the reference rules. Persistent settings cannot be changed.</w:t>
      </w:r>
    </w:p>
    <w:p w14:paraId="71FDA60B"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Configurable condition:</w:t>
      </w:r>
      <w:r w:rsidRPr="006C2525">
        <w:rPr>
          <w:rFonts w:ascii="Times New Roman" w:eastAsia="Times New Roman" w:hAnsi="Times New Roman" w:cs="Times New Roman"/>
          <w:kern w:val="0"/>
          <w14:ligatures w14:val="none"/>
        </w:rPr>
        <w:t xml:space="preserve"> the same reference rules are initially active. Participants may keep them or change the listed settings through an accessible spoken settings interface.</w:t>
      </w:r>
    </w:p>
    <w:p w14:paraId="2AD7E87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Order will be balanced across participants. Settings will reset between blocks, and the active configuration will be confirmed before each block. Temporary explicit overrides, where supported, will remain equally available in both conditions.</w:t>
      </w:r>
    </w:p>
    <w:p w14:paraId="37FCCE81"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four tasks will involve an omitted duration, an unspecified Part, a position or history request, and a silent-opening passage. Equivalent scenarios will be rotated between conditions.</w:t>
      </w:r>
    </w:p>
    <w:p w14:paraId="788AFF14"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Participants will not be required to change a setting. The researcher will record which settings are changed, retained, revisited, or restored; configuration time; requests for help; predictions of subsequent behavior; and task outcomes.</w:t>
      </w:r>
    </w:p>
    <w:p w14:paraId="0768A8C4"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In both conditions, participants will be asked which settings currently govern playback length, feedback detail, and “last location.” The questions will assess understanding without penalizing uncertainty.</w:t>
      </w:r>
    </w:p>
    <w:p w14:paraId="551F1C7A"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This comparison estimates the practical benefits and costs of providing customization. Because participants may choose different settings, any resulting performance difference will not be attributed solely to the presence of a settings interface.</w:t>
      </w:r>
    </w:p>
    <w:p w14:paraId="259453C8" w14:textId="77777777" w:rsidR="006C2525" w:rsidRPr="006C2525" w:rsidRDefault="006C2525" w:rsidP="006C2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525">
        <w:rPr>
          <w:rFonts w:ascii="Times New Roman" w:eastAsia="Times New Roman" w:hAnsi="Times New Roman" w:cs="Times New Roman"/>
          <w:b/>
          <w:bCs/>
          <w:kern w:val="0"/>
          <w:sz w:val="27"/>
          <w:szCs w:val="27"/>
          <w14:ligatures w14:val="none"/>
        </w:rPr>
        <w:t>Invariants</w:t>
      </w:r>
    </w:p>
    <w:p w14:paraId="465EE2D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Global Stop and cancellation remain available. Explicit Part and range requests take precedence over defaults. The system will not silently substitute an unavailable Instrument, bypass an explicit cancellation, or infer silence from missing metadata.</w:t>
      </w:r>
    </w:p>
    <w:p w14:paraId="413235DD"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No automatic microphone capture will occur outside the disclosed clarification window. No automatic skipping will occur without the participant’s confirmation.</w:t>
      </w:r>
    </w:p>
    <w:p w14:paraId="3E49499C"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lastRenderedPageBreak/>
        <w:t>11. Participation Across Studies</w:t>
      </w:r>
    </w:p>
    <w:p w14:paraId="1C99B5D9"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Participants may choose any combination of studies. Each study will include its own orientation and practice, so previous participation is unnecessary.</w:t>
      </w:r>
    </w:p>
    <w:p w14:paraId="4FE206F2"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Previous prototype exposure, study order, and time between sessions will be recorded. When scheduling permits, Study 2 and Study 3 order will be balanced among participants attending both. Returning participants will receive a configuration reset and standardized refresher.</w:t>
      </w:r>
    </w:p>
    <w:p w14:paraId="2D3145D6"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Studies will be analyzed separately. A returning participant will not be treated as a new independent person in cross-study summaries.</w:t>
      </w:r>
    </w:p>
    <w:p w14:paraId="5650E70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 participant completing all three studies may attend up to four visits, with a maximum planned total of approximately 205 minutes. Scheduling will accommodate breaks and access needs.</w:t>
      </w:r>
    </w:p>
    <w:p w14:paraId="78BAD70B"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12. Data Collection</w:t>
      </w:r>
    </w:p>
    <w:p w14:paraId="32D8BE5A"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Research data will include participant codes; study and condition order; broad age range; self-reported braille music and music-technology experience; relevant functional access needs; task outcomes; assistance; errors; cancellations; settings changes; ratings; interview responses; and researcher observations.</w:t>
      </w:r>
    </w:p>
    <w:p w14:paraId="400B583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System logs may include selected and anchored measures, interpreted requests, selected Parts and ranges, command transcripts, playback events, software timestamps, and implementation status. Logs will exclude unrelated computer activity.</w:t>
      </w:r>
    </w:p>
    <w:p w14:paraId="0E430CF2"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Three recording categories will be optional and separately consented:</w:t>
      </w:r>
    </w:p>
    <w:p w14:paraId="3D545BC8"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Task audio:</w:t>
      </w:r>
      <w:r w:rsidRPr="006C2525">
        <w:rPr>
          <w:rFonts w:ascii="Times New Roman" w:eastAsia="Times New Roman" w:hAnsi="Times New Roman" w:cs="Times New Roman"/>
          <w:kern w:val="0"/>
          <w14:ligatures w14:val="none"/>
        </w:rPr>
        <w:t xml:space="preserve"> captures commands, system responses, and playback for reviewing interaction sequences and timing.</w:t>
      </w:r>
    </w:p>
    <w:p w14:paraId="6851E68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 xml:space="preserve">Interview </w:t>
      </w:r>
      <w:proofErr w:type="gramStart"/>
      <w:r w:rsidRPr="006C2525">
        <w:rPr>
          <w:rFonts w:ascii="Times New Roman" w:eastAsia="Times New Roman" w:hAnsi="Times New Roman" w:cs="Times New Roman"/>
          <w:b/>
          <w:bCs/>
          <w:kern w:val="0"/>
          <w14:ligatures w14:val="none"/>
        </w:rPr>
        <w:t>audio:</w:t>
      </w:r>
      <w:proofErr w:type="gramEnd"/>
      <w:r w:rsidRPr="006C2525">
        <w:rPr>
          <w:rFonts w:ascii="Times New Roman" w:eastAsia="Times New Roman" w:hAnsi="Times New Roman" w:cs="Times New Roman"/>
          <w:kern w:val="0"/>
          <w14:ligatures w14:val="none"/>
        </w:rPr>
        <w:t xml:space="preserve"> supports accurate transcription and interpretation of comments.</w:t>
      </w:r>
    </w:p>
    <w:p w14:paraId="29052E25"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 xml:space="preserve">Silent overhead </w:t>
      </w:r>
      <w:proofErr w:type="gramStart"/>
      <w:r w:rsidRPr="006C2525">
        <w:rPr>
          <w:rFonts w:ascii="Times New Roman" w:eastAsia="Times New Roman" w:hAnsi="Times New Roman" w:cs="Times New Roman"/>
          <w:b/>
          <w:bCs/>
          <w:kern w:val="0"/>
          <w14:ligatures w14:val="none"/>
        </w:rPr>
        <w:t>video:</w:t>
      </w:r>
      <w:proofErr w:type="gramEnd"/>
      <w:r w:rsidRPr="006C2525">
        <w:rPr>
          <w:rFonts w:ascii="Times New Roman" w:eastAsia="Times New Roman" w:hAnsi="Times New Roman" w:cs="Times New Roman"/>
          <w:kern w:val="0"/>
          <w14:ligatures w14:val="none"/>
        </w:rPr>
        <w:t xml:space="preserve"> captures hands, score, and controls to examine gestures, reading interruptions, and reorientation. The camera will be framed to exclude the face as far as practical. Hands or personal features may nevertheless be identifiable.</w:t>
      </w:r>
    </w:p>
    <w:p w14:paraId="46C8134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Declining any optional recording will not prevent participation. Researcher notes and available event logs will be used instead. Recording-dependent measures will be reported with their actual denominators.</w:t>
      </w:r>
    </w:p>
    <w:p w14:paraId="0497D8AB"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Real-time camera processing is necessary for finger tracking and gesture conditions. Brief microphone capture is necessary for voice interaction. These operational inputs will not be saved unless covered by the relevant optional recording permission.</w:t>
      </w:r>
    </w:p>
    <w:p w14:paraId="505FDE1A"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lastRenderedPageBreak/>
        <w:t>No physiological measurements, diagnostic assessments, or biometric identification will be conducted.</w:t>
      </w:r>
    </w:p>
    <w:p w14:paraId="08D87E50"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13. Data Analysis</w:t>
      </w:r>
    </w:p>
    <w:p w14:paraId="747287F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Analysis will emphasize individual results, descriptive summaries, paired comparisons, and qualitative interpretation.</w:t>
      </w:r>
    </w:p>
    <w:p w14:paraId="68D81FAB"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For Study 1, the team will summarize task outcomes and examine recurring barriers, recovery strategies, and assistance needs.</w:t>
      </w:r>
    </w:p>
    <w:p w14:paraId="4643E1D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For Study 2, the team will report participant-level command success and error rates, paired differences, reading-period unintended activations, timing where valid, and condition preferences.</w:t>
      </w:r>
    </w:p>
    <w:p w14:paraId="353B3B69"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For Study 3, the team will report results separately by rule family, distinguishing preferred behavior, desire for customization, actual configuration use, prediction errors, and reported burden.</w:t>
      </w:r>
    </w:p>
    <w:p w14:paraId="3C630A3B"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Trials nested within a participant will not be treated as independent participants. Small-sample inferential tests, if reported, will be labeled exploratory. No claim of equivalence will be based on a nonsignificant result. No claim that one condition is universally superior will be based on this sample.</w:t>
      </w:r>
    </w:p>
    <w:p w14:paraId="3E8C402B"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Interview notes and consented recordings will undergo thematic analysis through repeated review, coding, comparison across participants, and documentation of contradictory cases. Conclusions will distinguish direct observation from participant opinion and researcher interpretation.</w:t>
      </w:r>
    </w:p>
    <w:p w14:paraId="25867715"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Skipped tasks, withdrawals, equipment failures, incomplete pairs, and scripted demonstrations will be identified. Results will not be excluded because they are unfavorable. A change required to correct a material system defect will be documented, and affected versions will be reported separately.</w:t>
      </w:r>
    </w:p>
    <w:p w14:paraId="329322B8"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14. Risks and Risk Reduction</w:t>
      </w:r>
    </w:p>
    <w:p w14:paraId="51A7A84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Foreseeable risks include fatigue, temporary hand discomfort, frustration, listening discomfort, and loss of confidentiality.</w:t>
      </w:r>
    </w:p>
    <w:p w14:paraId="27EEEDC1"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Participants may adjust posture, rest, lower the volume, skip a method, or stop. Gestures will not require forceful movement or sustained exertion. The researcher will stop an activity if the participant reports pain or discomfort.</w:t>
      </w:r>
    </w:p>
    <w:p w14:paraId="1423CFAC"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lastRenderedPageBreak/>
        <w:t>The microphone and camera may capture identifiable information. The recording procedures, restricted access, and deletion schedule below will reduce this risk. Participants will be asked to avoid including unnecessary personal information in commands or interviews.</w:t>
      </w:r>
    </w:p>
    <w:p w14:paraId="3CE2A2B2"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There is no deception about system capability. Scripted demonstrations will be disclosed. Participants will not be told that researcher-generated responses were produced autonomously.</w:t>
      </w:r>
    </w:p>
    <w:p w14:paraId="5D885CC1"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No direct benefit is guaranteed. The anticipated benefit is improved understanding of accessible braille music interaction.</w:t>
      </w:r>
    </w:p>
    <w:p w14:paraId="535B4D00"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15. Confidentiality, Storage, and Retention</w:t>
      </w:r>
    </w:p>
    <w:p w14:paraId="70A5E0A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Data will be confidential rather than anonymous during collection. Voices, video, contact details, and experiences may identify participants.</w:t>
      </w:r>
    </w:p>
    <w:p w14:paraId="26A73BFC"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Consent and contact information will be stored separately from coded research data. Access will be restricted to the PI and authorized, trained study personnel.</w:t>
      </w:r>
    </w:p>
    <w:p w14:paraId="78B4EE9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Research processing will use local Whisper, local Ollama inference, and local speech output. Participant data will not be submitted to cloud language models, external transcription services, or model-training systems under this protocol.</w:t>
      </w:r>
    </w:p>
    <w:p w14:paraId="5030F71C"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Data will be stored on encrypted, password-protected research devices and an institution-approved secure storage location under PI oversight. Personal file-sharing accounts and public repositories will not contain identifiable research data.</w:t>
      </w:r>
    </w:p>
    <w:p w14:paraId="0184BD2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Unretained operational audio and camera frames will be discarded after processing. Saved task audio, interview audio, and video will be deleted after transcription and coding verification, no later than 90 days after the participant’s final session.</w:t>
      </w:r>
    </w:p>
    <w:p w14:paraId="5C5820D5"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contact-to-code linkage will be deleted within 30 days after the participant’s final session. Consent records and coded research data will be retained for three years after study completion, then securely deleted or destroyed. Backup copies will follow the same retention plan.</w:t>
      </w:r>
    </w:p>
    <w:p w14:paraId="3BF06BAA"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Publications may include aggregate results and carefully de-identified quotations. Specific affiliations and unnecessary personal details will be removed. Small-community re-identification risk will be considered when selecting quotations.</w:t>
      </w:r>
    </w:p>
    <w:p w14:paraId="115F275C"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This protocol does not authorize public release of identifiable audio or video. A later request for public demonstration media would require separate permission and any necessary IRB review.</w:t>
      </w:r>
    </w:p>
    <w:p w14:paraId="0A75BCA8"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16. Withdrawal and Unexpected Events</w:t>
      </w:r>
    </w:p>
    <w:p w14:paraId="61D33067"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Participants may stop a recording, skip an activity, withdraw from one study, or decline later studies without penalty.</w:t>
      </w:r>
    </w:p>
    <w:p w14:paraId="7DF4C22C"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lastRenderedPageBreak/>
        <w:t>Participants may request deletion of identifiable or linkable research data within 14 days after their final session. After linkage has been removed or results irreversibly aggregated, individual removal may no longer be possible. Consent records may be retained as required for research documentation.</w:t>
      </w:r>
    </w:p>
    <w:p w14:paraId="31C9FB4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Unexpected discomfort, confidentiality incidents, and material deviations will be documented and brought promptly to the PI. The PI will follow Berklee reporting requirements. Affected activities will be suspended when necessary to protect participants.</w:t>
      </w:r>
    </w:p>
    <w:p w14:paraId="2CB8F4C2"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17. Oversight and Research Readiness</w:t>
      </w:r>
    </w:p>
    <w:p w14:paraId="4E9291E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faculty PI will supervise consent, data security, protocol adherence, and reporting. All study personnel will complete current Human Subjects Research training before participant contact.</w:t>
      </w:r>
    </w:p>
    <w:p w14:paraId="67F3A261"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Recruitment, screening, and data collection will begin only after written IRB authorization. Researcher-only bench rehearsals will verify instructions, timing, accessibility, and condition behavior before participant sessions.</w:t>
      </w:r>
    </w:p>
    <w:p w14:paraId="08A9592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reference rules, task scripts, settings interface, recording procedures, and implementation-status register will be finalized before use. Material changes to approved procedures, populations, recording, or data handling will be submitted for IRB approval before implementation.</w:t>
      </w:r>
    </w:p>
    <w:p w14:paraId="63CEE970" w14:textId="77777777" w:rsidR="006C2525" w:rsidRPr="006C2525" w:rsidRDefault="006C2525" w:rsidP="006C25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2525">
        <w:rPr>
          <w:rFonts w:ascii="Times New Roman" w:eastAsia="Times New Roman" w:hAnsi="Times New Roman" w:cs="Times New Roman"/>
          <w:b/>
          <w:bCs/>
          <w:kern w:val="36"/>
          <w:sz w:val="48"/>
          <w:szCs w:val="48"/>
          <w14:ligatures w14:val="none"/>
        </w:rPr>
        <w:t>Appendix A. Recruitment Notice</w:t>
      </w:r>
    </w:p>
    <w:p w14:paraId="13DE6294"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Invitation: Research on Accessible Braille Music Playback</w:t>
      </w:r>
    </w:p>
    <w:p w14:paraId="55788907"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Berklee College of Music is inviting adults aged 18 or older who are blind or have low vision and read braille music to participate in research on an interactive music-playback prototype.</w:t>
      </w:r>
    </w:p>
    <w:p w14:paraId="0C2DB367"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You may choose one or more activities: a usability study of touch and voice interaction, a comparison of physical buttons and hand gestures, or a study of interaction rules and customization.</w:t>
      </w:r>
    </w:p>
    <w:p w14:paraId="5048326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Study 1 takes approximately 45–60 minutes. Study 2 takes approximately 35–45 minutes. Study 3 takes approximately 80–100 minutes, normally across two visits.</w:t>
      </w:r>
    </w:p>
    <w:p w14:paraId="7CC3B91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Sessions take place at [accessible location]. No financial compensation is planned. Participation is voluntary and has no effect on grades, services, employment, or relationships with Berklee. Audio and video recording are optional.</w:t>
      </w:r>
    </w:p>
    <w:p w14:paraId="7BA1AA35"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 xml:space="preserve">To ask questions or express interest, contact Jinlan Zhao at [email] or the Principal Investigator, [name and email]. For questions about participant rights, contact </w:t>
      </w:r>
      <w:hyperlink r:id="rId4" w:history="1">
        <w:r w:rsidRPr="006C2525">
          <w:rPr>
            <w:rFonts w:ascii="Times New Roman" w:eastAsia="Times New Roman" w:hAnsi="Times New Roman" w:cs="Times New Roman"/>
            <w:color w:val="0000FF"/>
            <w:kern w:val="0"/>
            <w:u w:val="single"/>
            <w14:ligatures w14:val="none"/>
          </w:rPr>
          <w:t>BerkleeIRB@berklee.edu</w:t>
        </w:r>
      </w:hyperlink>
      <w:r w:rsidRPr="006C2525">
        <w:rPr>
          <w:rFonts w:ascii="Times New Roman" w:eastAsia="Times New Roman" w:hAnsi="Times New Roman" w:cs="Times New Roman"/>
          <w:kern w:val="0"/>
          <w14:ligatures w14:val="none"/>
        </w:rPr>
        <w:t>.</w:t>
      </w:r>
    </w:p>
    <w:p w14:paraId="040BAC44" w14:textId="77777777" w:rsidR="006C2525" w:rsidRPr="006C2525" w:rsidRDefault="006C2525" w:rsidP="006C25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2525">
        <w:rPr>
          <w:rFonts w:ascii="Times New Roman" w:eastAsia="Times New Roman" w:hAnsi="Times New Roman" w:cs="Times New Roman"/>
          <w:b/>
          <w:bCs/>
          <w:kern w:val="36"/>
          <w:sz w:val="48"/>
          <w:szCs w:val="48"/>
          <w14:ligatures w14:val="none"/>
        </w:rPr>
        <w:lastRenderedPageBreak/>
        <w:t>Appendix B. Participant Information and Consent</w:t>
      </w:r>
    </w:p>
    <w:p w14:paraId="4EDC6DAA"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What is this research?</w:t>
      </w:r>
    </w:p>
    <w:p w14:paraId="7967FF1A"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We are studying a prototype that connects embossed braille music with musical playback. It uses a camera to identify a selected measure and provides physical, gesture, and voice controls.</w:t>
      </w:r>
    </w:p>
    <w:p w14:paraId="25B27B5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Principal Investigator is [name and contact]. Jinlan Zhao, [contact], is conducting the student research under the PI’s supervision.</w:t>
      </w:r>
    </w:p>
    <w:p w14:paraId="4B317112"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What would I do?</w:t>
      </w:r>
    </w:p>
    <w:p w14:paraId="42CBA48B"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You may choose one, two, or all three studies. You may use the prototype, compare controls or interaction rules, answer brief questions, and discuss your experience.</w:t>
      </w:r>
    </w:p>
    <w:p w14:paraId="19743CA5"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Study 1 takes 45–60 minutes. Study 2 takes 35–45 minutes. Study 3 takes 80–100 minutes, normally divided between two visits. Completing all three may require up to four visits and approximately 205 minutes.</w:t>
      </w:r>
    </w:p>
    <w:p w14:paraId="1B4738B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Some proposed features may be demonstrated by the researcher following a script. You will be told when this happens.</w:t>
      </w:r>
    </w:p>
    <w:p w14:paraId="1658B0B6"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Is participation voluntary?</w:t>
      </w:r>
    </w:p>
    <w:p w14:paraId="637FE7D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Yes. You may decline, skip questions or tasks, take breaks, or stop without penalty. Your choice will not affect grades, services, employment, or your relationship with Berklee. Joining one study does not require joining another.</w:t>
      </w:r>
    </w:p>
    <w:p w14:paraId="3CEF20D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No payment is planned.</w:t>
      </w:r>
    </w:p>
    <w:p w14:paraId="3CCCA9BC"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What are the risks and benefits?</w:t>
      </w:r>
    </w:p>
    <w:p w14:paraId="129856E9"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You may experience fatigue, hand discomfort, frustration, or listening discomfort. You may change position, lower the volume, request help, rest, or stop.</w:t>
      </w:r>
    </w:p>
    <w:p w14:paraId="794AD24D"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There is a risk that research information or recordings could identify you. The team will restrict access and follow the storage and deletion procedures below. There is no guaranteed personal benefit.</w:t>
      </w:r>
    </w:p>
    <w:p w14:paraId="4672D3E0"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What information will be collected?</w:t>
      </w:r>
    </w:p>
    <w:p w14:paraId="3E37149D"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lastRenderedPageBreak/>
        <w:t>The team will collect task results, system-event logs, command transcripts, brief ratings, interview responses, and researcher notes. Relevant background questions concern braille music experience and access needs.</w:t>
      </w:r>
    </w:p>
    <w:p w14:paraId="621E958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 camera must process images in real time for tracking. The microphone must briefly capture speech for voice commands. These operational inputs are not saved unless you separately agree to a relevant research recording.</w:t>
      </w:r>
    </w:p>
    <w:p w14:paraId="4A5AB18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You can participate without agreeing to saved task audio, interview audio, or video.</w:t>
      </w:r>
    </w:p>
    <w:p w14:paraId="145A952A"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How will my information be protected?</w:t>
      </w:r>
    </w:p>
    <w:p w14:paraId="72193A68"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Contact and consent records will be stored separately from coded research data on encrypted, password-protected devices and institution-approved storage. Only authorized study personnel will have access.</w:t>
      </w:r>
    </w:p>
    <w:p w14:paraId="4CE292E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Speech and language processing will run locally. Your information will not be used to train models or sent to cloud AI services under this protocol.</w:t>
      </w:r>
    </w:p>
    <w:p w14:paraId="2B2B849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Saved audio and video will be deleted after verification, within 90 days of your final session. Contact-to-code linkage will be deleted within 30 days. Consent records and coded research data will be retained for three years after study completion.</w:t>
      </w:r>
    </w:p>
    <w:p w14:paraId="3F894275"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Reports may include aggregate findings and de-identified quotations. Identifiable audio or video will not be published under this consent.</w:t>
      </w:r>
    </w:p>
    <w:p w14:paraId="0FC75A8C"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Can I request removal of my data?</w:t>
      </w:r>
    </w:p>
    <w:p w14:paraId="6DE970B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You may request removal of identifiable or linkable research data within 14 days after your final session. After identifying links have been removed or results irreversibly combined, individual removal may no longer be possible.</w:t>
      </w:r>
    </w:p>
    <w:p w14:paraId="2F971898"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Whom can I contact?</w:t>
      </w:r>
    </w:p>
    <w:p w14:paraId="52974487"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Research questions: [PI name, email, and telephone] or Jinlan Zhao, [email and telephone].</w:t>
      </w:r>
    </w:p>
    <w:p w14:paraId="102CC98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 xml:space="preserve">Questions about research participant rights: </w:t>
      </w:r>
      <w:hyperlink r:id="rId5" w:history="1">
        <w:r w:rsidRPr="006C2525">
          <w:rPr>
            <w:rFonts w:ascii="Times New Roman" w:eastAsia="Times New Roman" w:hAnsi="Times New Roman" w:cs="Times New Roman"/>
            <w:color w:val="0000FF"/>
            <w:kern w:val="0"/>
            <w:u w:val="single"/>
            <w14:ligatures w14:val="none"/>
          </w:rPr>
          <w:t>BerkleeIRB@berklee.edu</w:t>
        </w:r>
      </w:hyperlink>
      <w:r w:rsidRPr="006C2525">
        <w:rPr>
          <w:rFonts w:ascii="Times New Roman" w:eastAsia="Times New Roman" w:hAnsi="Times New Roman" w:cs="Times New Roman"/>
          <w:kern w:val="0"/>
          <w14:ligatures w14:val="none"/>
        </w:rPr>
        <w:t>.</w:t>
      </w:r>
    </w:p>
    <w:p w14:paraId="213D369D"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Consent Choices</w:t>
      </w:r>
    </w:p>
    <w:p w14:paraId="4464D956"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Please indicate a separate answer for each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3"/>
        <w:gridCol w:w="1036"/>
      </w:tblGrid>
      <w:tr w:rsidR="006C2525" w:rsidRPr="006C2525" w14:paraId="318C4064" w14:textId="77777777">
        <w:trPr>
          <w:tblCellSpacing w:w="15" w:type="dxa"/>
        </w:trPr>
        <w:tc>
          <w:tcPr>
            <w:tcW w:w="0" w:type="auto"/>
            <w:vAlign w:val="center"/>
            <w:hideMark/>
          </w:tcPr>
          <w:p w14:paraId="6BF289D6" w14:textId="77777777" w:rsidR="006C2525" w:rsidRPr="006C2525" w:rsidRDefault="006C2525" w:rsidP="006C2525">
            <w:pPr>
              <w:spacing w:after="0" w:line="240" w:lineRule="auto"/>
              <w:jc w:val="center"/>
              <w:rPr>
                <w:rFonts w:ascii="Times New Roman" w:eastAsia="Times New Roman" w:hAnsi="Times New Roman" w:cs="Times New Roman"/>
                <w:b/>
                <w:bCs/>
                <w:kern w:val="0"/>
                <w14:ligatures w14:val="none"/>
              </w:rPr>
            </w:pPr>
            <w:r w:rsidRPr="006C2525">
              <w:rPr>
                <w:rFonts w:ascii="Times New Roman" w:eastAsia="Times New Roman" w:hAnsi="Times New Roman" w:cs="Times New Roman"/>
                <w:b/>
                <w:bCs/>
                <w:kern w:val="0"/>
                <w14:ligatures w14:val="none"/>
              </w:rPr>
              <w:t>Choice</w:t>
            </w:r>
          </w:p>
        </w:tc>
        <w:tc>
          <w:tcPr>
            <w:tcW w:w="0" w:type="auto"/>
            <w:vAlign w:val="center"/>
            <w:hideMark/>
          </w:tcPr>
          <w:p w14:paraId="529ECF87" w14:textId="77777777" w:rsidR="006C2525" w:rsidRPr="006C2525" w:rsidRDefault="006C2525" w:rsidP="006C2525">
            <w:pPr>
              <w:spacing w:after="0" w:line="240" w:lineRule="auto"/>
              <w:jc w:val="center"/>
              <w:rPr>
                <w:rFonts w:ascii="Times New Roman" w:eastAsia="Times New Roman" w:hAnsi="Times New Roman" w:cs="Times New Roman"/>
                <w:b/>
                <w:bCs/>
                <w:kern w:val="0"/>
                <w14:ligatures w14:val="none"/>
              </w:rPr>
            </w:pPr>
            <w:r w:rsidRPr="006C2525">
              <w:rPr>
                <w:rFonts w:ascii="Times New Roman" w:eastAsia="Times New Roman" w:hAnsi="Times New Roman" w:cs="Times New Roman"/>
                <w:b/>
                <w:bCs/>
                <w:kern w:val="0"/>
                <w14:ligatures w14:val="none"/>
              </w:rPr>
              <w:t>Response</w:t>
            </w:r>
          </w:p>
        </w:tc>
      </w:tr>
      <w:tr w:rsidR="006C2525" w:rsidRPr="006C2525" w14:paraId="7389DECF" w14:textId="77777777">
        <w:trPr>
          <w:tblCellSpacing w:w="15" w:type="dxa"/>
        </w:trPr>
        <w:tc>
          <w:tcPr>
            <w:tcW w:w="0" w:type="auto"/>
            <w:vAlign w:val="center"/>
            <w:hideMark/>
          </w:tcPr>
          <w:p w14:paraId="6C8F07B4"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I agree to eligibility screening.</w:t>
            </w:r>
          </w:p>
        </w:tc>
        <w:tc>
          <w:tcPr>
            <w:tcW w:w="0" w:type="auto"/>
            <w:vAlign w:val="center"/>
            <w:hideMark/>
          </w:tcPr>
          <w:p w14:paraId="46277A41"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Yes / No</w:t>
            </w:r>
          </w:p>
        </w:tc>
      </w:tr>
      <w:tr w:rsidR="006C2525" w:rsidRPr="006C2525" w14:paraId="5C88EE12" w14:textId="77777777">
        <w:trPr>
          <w:tblCellSpacing w:w="15" w:type="dxa"/>
        </w:trPr>
        <w:tc>
          <w:tcPr>
            <w:tcW w:w="0" w:type="auto"/>
            <w:vAlign w:val="center"/>
            <w:hideMark/>
          </w:tcPr>
          <w:p w14:paraId="0B35AB2E"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lastRenderedPageBreak/>
              <w:t>I agree to participate in Study 1.</w:t>
            </w:r>
          </w:p>
        </w:tc>
        <w:tc>
          <w:tcPr>
            <w:tcW w:w="0" w:type="auto"/>
            <w:vAlign w:val="center"/>
            <w:hideMark/>
          </w:tcPr>
          <w:p w14:paraId="24F4C07B"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Yes / No</w:t>
            </w:r>
          </w:p>
        </w:tc>
      </w:tr>
      <w:tr w:rsidR="006C2525" w:rsidRPr="006C2525" w14:paraId="75BA7EA3" w14:textId="77777777">
        <w:trPr>
          <w:tblCellSpacing w:w="15" w:type="dxa"/>
        </w:trPr>
        <w:tc>
          <w:tcPr>
            <w:tcW w:w="0" w:type="auto"/>
            <w:vAlign w:val="center"/>
            <w:hideMark/>
          </w:tcPr>
          <w:p w14:paraId="0C221C02"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I agree to participate in Study 2.</w:t>
            </w:r>
          </w:p>
        </w:tc>
        <w:tc>
          <w:tcPr>
            <w:tcW w:w="0" w:type="auto"/>
            <w:vAlign w:val="center"/>
            <w:hideMark/>
          </w:tcPr>
          <w:p w14:paraId="139928AF"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Yes / No</w:t>
            </w:r>
          </w:p>
        </w:tc>
      </w:tr>
      <w:tr w:rsidR="006C2525" w:rsidRPr="006C2525" w14:paraId="0A22C6D0" w14:textId="77777777">
        <w:trPr>
          <w:tblCellSpacing w:w="15" w:type="dxa"/>
        </w:trPr>
        <w:tc>
          <w:tcPr>
            <w:tcW w:w="0" w:type="auto"/>
            <w:vAlign w:val="center"/>
            <w:hideMark/>
          </w:tcPr>
          <w:p w14:paraId="0E9934D8"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I agree to participate in Study 3.</w:t>
            </w:r>
          </w:p>
        </w:tc>
        <w:tc>
          <w:tcPr>
            <w:tcW w:w="0" w:type="auto"/>
            <w:vAlign w:val="center"/>
            <w:hideMark/>
          </w:tcPr>
          <w:p w14:paraId="268CFF16"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Yes / No</w:t>
            </w:r>
          </w:p>
        </w:tc>
      </w:tr>
      <w:tr w:rsidR="006C2525" w:rsidRPr="006C2525" w14:paraId="60441A49" w14:textId="77777777">
        <w:trPr>
          <w:tblCellSpacing w:w="15" w:type="dxa"/>
        </w:trPr>
        <w:tc>
          <w:tcPr>
            <w:tcW w:w="0" w:type="auto"/>
            <w:vAlign w:val="center"/>
            <w:hideMark/>
          </w:tcPr>
          <w:p w14:paraId="7331C88A"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I agree to saved task audio.</w:t>
            </w:r>
          </w:p>
        </w:tc>
        <w:tc>
          <w:tcPr>
            <w:tcW w:w="0" w:type="auto"/>
            <w:vAlign w:val="center"/>
            <w:hideMark/>
          </w:tcPr>
          <w:p w14:paraId="57E75210"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Yes / No</w:t>
            </w:r>
          </w:p>
        </w:tc>
      </w:tr>
      <w:tr w:rsidR="006C2525" w:rsidRPr="006C2525" w14:paraId="03DE70E1" w14:textId="77777777">
        <w:trPr>
          <w:tblCellSpacing w:w="15" w:type="dxa"/>
        </w:trPr>
        <w:tc>
          <w:tcPr>
            <w:tcW w:w="0" w:type="auto"/>
            <w:vAlign w:val="center"/>
            <w:hideMark/>
          </w:tcPr>
          <w:p w14:paraId="2FB140A1"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I agree to saved interview audio.</w:t>
            </w:r>
          </w:p>
        </w:tc>
        <w:tc>
          <w:tcPr>
            <w:tcW w:w="0" w:type="auto"/>
            <w:vAlign w:val="center"/>
            <w:hideMark/>
          </w:tcPr>
          <w:p w14:paraId="3E093FB9"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Yes / No</w:t>
            </w:r>
          </w:p>
        </w:tc>
      </w:tr>
      <w:tr w:rsidR="006C2525" w:rsidRPr="006C2525" w14:paraId="2E114BD8" w14:textId="77777777">
        <w:trPr>
          <w:tblCellSpacing w:w="15" w:type="dxa"/>
        </w:trPr>
        <w:tc>
          <w:tcPr>
            <w:tcW w:w="0" w:type="auto"/>
            <w:vAlign w:val="center"/>
            <w:hideMark/>
          </w:tcPr>
          <w:p w14:paraId="079D24F5"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I agree to saved silent overhead video of my hands, score, and controls.</w:t>
            </w:r>
          </w:p>
        </w:tc>
        <w:tc>
          <w:tcPr>
            <w:tcW w:w="0" w:type="auto"/>
            <w:vAlign w:val="center"/>
            <w:hideMark/>
          </w:tcPr>
          <w:p w14:paraId="329F8DD7" w14:textId="77777777" w:rsidR="006C2525" w:rsidRPr="006C2525" w:rsidRDefault="006C2525" w:rsidP="006C2525">
            <w:pPr>
              <w:spacing w:after="0"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Yes / No</w:t>
            </w:r>
          </w:p>
        </w:tc>
      </w:tr>
    </w:tbl>
    <w:p w14:paraId="68977608"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I have received information in an accessible form, had an opportunity to ask questions, and understand that participation is voluntary.</w:t>
      </w:r>
    </w:p>
    <w:p w14:paraId="1598059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b/>
          <w:bCs/>
          <w:kern w:val="0"/>
          <w14:ligatures w14:val="none"/>
        </w:rPr>
        <w:t>Participant name:</w:t>
      </w:r>
      <w:r w:rsidRPr="006C2525">
        <w:rPr>
          <w:rFonts w:ascii="Times New Roman" w:eastAsia="Times New Roman" w:hAnsi="Times New Roman" w:cs="Times New Roman"/>
          <w:kern w:val="0"/>
          <w14:ligatures w14:val="none"/>
        </w:rPr>
        <w:t xml:space="preserve"> ____________________</w:t>
      </w:r>
      <w:r w:rsidRPr="006C2525">
        <w:rPr>
          <w:rFonts w:ascii="Times New Roman" w:eastAsia="Times New Roman" w:hAnsi="Times New Roman" w:cs="Times New Roman"/>
          <w:kern w:val="0"/>
          <w14:ligatures w14:val="none"/>
        </w:rPr>
        <w:br/>
      </w:r>
      <w:r w:rsidRPr="006C2525">
        <w:rPr>
          <w:rFonts w:ascii="Times New Roman" w:eastAsia="Times New Roman" w:hAnsi="Times New Roman" w:cs="Times New Roman"/>
          <w:b/>
          <w:bCs/>
          <w:kern w:val="0"/>
          <w14:ligatures w14:val="none"/>
        </w:rPr>
        <w:t>Signature or IRB-approved accessible documentation:</w:t>
      </w:r>
      <w:r w:rsidRPr="006C2525">
        <w:rPr>
          <w:rFonts w:ascii="Times New Roman" w:eastAsia="Times New Roman" w:hAnsi="Times New Roman" w:cs="Times New Roman"/>
          <w:kern w:val="0"/>
          <w14:ligatures w14:val="none"/>
        </w:rPr>
        <w:t xml:space="preserve"> ____________________</w:t>
      </w:r>
      <w:r w:rsidRPr="006C2525">
        <w:rPr>
          <w:rFonts w:ascii="Times New Roman" w:eastAsia="Times New Roman" w:hAnsi="Times New Roman" w:cs="Times New Roman"/>
          <w:kern w:val="0"/>
          <w14:ligatures w14:val="none"/>
        </w:rPr>
        <w:br/>
      </w:r>
      <w:r w:rsidRPr="006C2525">
        <w:rPr>
          <w:rFonts w:ascii="Times New Roman" w:eastAsia="Times New Roman" w:hAnsi="Times New Roman" w:cs="Times New Roman"/>
          <w:b/>
          <w:bCs/>
          <w:kern w:val="0"/>
          <w14:ligatures w14:val="none"/>
        </w:rPr>
        <w:t>Date:</w:t>
      </w:r>
      <w:r w:rsidRPr="006C2525">
        <w:rPr>
          <w:rFonts w:ascii="Times New Roman" w:eastAsia="Times New Roman" w:hAnsi="Times New Roman" w:cs="Times New Roman"/>
          <w:kern w:val="0"/>
          <w14:ligatures w14:val="none"/>
        </w:rPr>
        <w:t xml:space="preserve"> ____________________</w:t>
      </w:r>
      <w:r w:rsidRPr="006C2525">
        <w:rPr>
          <w:rFonts w:ascii="Times New Roman" w:eastAsia="Times New Roman" w:hAnsi="Times New Roman" w:cs="Times New Roman"/>
          <w:kern w:val="0"/>
          <w14:ligatures w14:val="none"/>
        </w:rPr>
        <w:br/>
      </w:r>
      <w:r w:rsidRPr="006C2525">
        <w:rPr>
          <w:rFonts w:ascii="Times New Roman" w:eastAsia="Times New Roman" w:hAnsi="Times New Roman" w:cs="Times New Roman"/>
          <w:b/>
          <w:bCs/>
          <w:kern w:val="0"/>
          <w14:ligatures w14:val="none"/>
        </w:rPr>
        <w:t>Researcher documenting consent:</w:t>
      </w:r>
      <w:r w:rsidRPr="006C2525">
        <w:rPr>
          <w:rFonts w:ascii="Times New Roman" w:eastAsia="Times New Roman" w:hAnsi="Times New Roman" w:cs="Times New Roman"/>
          <w:kern w:val="0"/>
          <w14:ligatures w14:val="none"/>
        </w:rPr>
        <w:t xml:space="preserve"> ____________________</w:t>
      </w:r>
    </w:p>
    <w:p w14:paraId="041A84C4"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 copy of this information and the recorded consent choices will be provided to the participant.</w:t>
      </w:r>
    </w:p>
    <w:p w14:paraId="0863F4B3" w14:textId="77777777" w:rsidR="006C2525" w:rsidRPr="006C2525" w:rsidRDefault="006C2525" w:rsidP="006C25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2525">
        <w:rPr>
          <w:rFonts w:ascii="Times New Roman" w:eastAsia="Times New Roman" w:hAnsi="Times New Roman" w:cs="Times New Roman"/>
          <w:b/>
          <w:bCs/>
          <w:kern w:val="36"/>
          <w:sz w:val="48"/>
          <w:szCs w:val="48"/>
          <w14:ligatures w14:val="none"/>
        </w:rPr>
        <w:t>Appendix C. Standard Questions and Observation Guide</w:t>
      </w:r>
    </w:p>
    <w:p w14:paraId="7DAF31EB"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Background Questions</w:t>
      </w:r>
    </w:p>
    <w:p w14:paraId="451AFBBB"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After consent, the researcher will ask: Are you aged 18 or older? How would you describe your braille music experience? What musical activities do you currently engage in? What playback or music-access tools do you use? What positioning, communication, or access arrangements would help you participate?</w:t>
      </w:r>
    </w:p>
    <w:p w14:paraId="37381C69"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Responses may be declined except where needed to establish eligibility or arrange safe participation. Exact birth dates and detailed medical histories will not be requested.</w:t>
      </w:r>
    </w:p>
    <w:p w14:paraId="7EA6BC10"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Condition Ratings</w:t>
      </w:r>
    </w:p>
    <w:p w14:paraId="5D899C6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After each relevant condition, participants will answer the following separately using a 1–7 scale:</w:t>
      </w:r>
    </w:p>
    <w:p w14:paraId="03433A73"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“How easy was this method to use?”</w:t>
      </w:r>
      <w:r w:rsidRPr="006C2525">
        <w:rPr>
          <w:rFonts w:ascii="Times New Roman" w:eastAsia="Times New Roman" w:hAnsi="Times New Roman" w:cs="Times New Roman"/>
          <w:kern w:val="0"/>
          <w14:ligatures w14:val="none"/>
        </w:rPr>
        <w:br/>
        <w:t>1 = very difficult; 7 = very easy.</w:t>
      </w:r>
    </w:p>
    <w:p w14:paraId="45260560"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“How much did this method interrupt your reading?”</w:t>
      </w:r>
      <w:r w:rsidRPr="006C2525">
        <w:rPr>
          <w:rFonts w:ascii="Times New Roman" w:eastAsia="Times New Roman" w:hAnsi="Times New Roman" w:cs="Times New Roman"/>
          <w:kern w:val="0"/>
          <w14:ligatures w14:val="none"/>
        </w:rPr>
        <w:br/>
        <w:t>1 = not at all; 7 = very much.</w:t>
      </w:r>
    </w:p>
    <w:p w14:paraId="5EA9052C"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lastRenderedPageBreak/>
        <w:t>“How much physical effort did this method require?”</w:t>
      </w:r>
      <w:r w:rsidRPr="006C2525">
        <w:rPr>
          <w:rFonts w:ascii="Times New Roman" w:eastAsia="Times New Roman" w:hAnsi="Times New Roman" w:cs="Times New Roman"/>
          <w:kern w:val="0"/>
          <w14:ligatures w14:val="none"/>
        </w:rPr>
        <w:br/>
        <w:t>1 = very little; 7 = very much.</w:t>
      </w:r>
    </w:p>
    <w:p w14:paraId="15385CE7"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For Study 3 configuration blocks, participants will additionally answer:</w:t>
      </w:r>
    </w:p>
    <w:p w14:paraId="2E50BD52"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“How much mental effort did it take to manage the system’s behavior?”</w:t>
      </w:r>
      <w:r w:rsidRPr="006C2525">
        <w:rPr>
          <w:rFonts w:ascii="Times New Roman" w:eastAsia="Times New Roman" w:hAnsi="Times New Roman" w:cs="Times New Roman"/>
          <w:kern w:val="0"/>
          <w14:ligatures w14:val="none"/>
        </w:rPr>
        <w:br/>
        <w:t>1 = very little; 7 = very much.</w:t>
      </w:r>
    </w:p>
    <w:p w14:paraId="6A7BBD7E"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These are study-specific descriptive items, not a validated composite instrument. They will not be combined into a standardized usability score.</w:t>
      </w:r>
    </w:p>
    <w:p w14:paraId="28216849"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Rule Questions</w:t>
      </w:r>
    </w:p>
    <w:p w14:paraId="24AA865F"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Before each rule comparison: “What would you expect the system to do in this situation?”</w:t>
      </w:r>
    </w:p>
    <w:p w14:paraId="3CF1B9C9"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After both behaviors: “Which behavior would you prefer, if either?” “Was anything unexpected?” “Would you want this fixed, saved as your own default, or changed only for individual requests?” “Why?”</w:t>
      </w:r>
    </w:p>
    <w:p w14:paraId="2071349B"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Participants may answer “it depends,” identify different contexts, or prefer neither option.</w:t>
      </w:r>
    </w:p>
    <w:p w14:paraId="31FBD6F5"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Interview Questions</w:t>
      </w:r>
    </w:p>
    <w:p w14:paraId="257234C5"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“What was most useful?”</w:t>
      </w:r>
      <w:r w:rsidRPr="006C2525">
        <w:rPr>
          <w:rFonts w:ascii="Times New Roman" w:eastAsia="Times New Roman" w:hAnsi="Times New Roman" w:cs="Times New Roman"/>
          <w:kern w:val="0"/>
          <w14:ligatures w14:val="none"/>
        </w:rPr>
        <w:br/>
        <w:t>“What was difficult or unclear?”</w:t>
      </w:r>
      <w:r w:rsidRPr="006C2525">
        <w:rPr>
          <w:rFonts w:ascii="Times New Roman" w:eastAsia="Times New Roman" w:hAnsi="Times New Roman" w:cs="Times New Roman"/>
          <w:kern w:val="0"/>
          <w14:ligatures w14:val="none"/>
        </w:rPr>
        <w:br/>
        <w:t>“When did you lose your place, and what helped you return?”</w:t>
      </w:r>
      <w:r w:rsidRPr="006C2525">
        <w:rPr>
          <w:rFonts w:ascii="Times New Roman" w:eastAsia="Times New Roman" w:hAnsi="Times New Roman" w:cs="Times New Roman"/>
          <w:kern w:val="0"/>
          <w14:ligatures w14:val="none"/>
        </w:rPr>
        <w:br/>
        <w:t>“What feedback was missing or excessive?”</w:t>
      </w:r>
      <w:r w:rsidRPr="006C2525">
        <w:rPr>
          <w:rFonts w:ascii="Times New Roman" w:eastAsia="Times New Roman" w:hAnsi="Times New Roman" w:cs="Times New Roman"/>
          <w:kern w:val="0"/>
          <w14:ligatures w14:val="none"/>
        </w:rPr>
        <w:br/>
        <w:t>“Which controls would you use during real practice?”</w:t>
      </w:r>
      <w:r w:rsidRPr="006C2525">
        <w:rPr>
          <w:rFonts w:ascii="Times New Roman" w:eastAsia="Times New Roman" w:hAnsi="Times New Roman" w:cs="Times New Roman"/>
          <w:kern w:val="0"/>
          <w14:ligatures w14:val="none"/>
        </w:rPr>
        <w:br/>
        <w:t>“Which settings would you change, and which should the system handle consistently?”</w:t>
      </w:r>
      <w:r w:rsidRPr="006C2525">
        <w:rPr>
          <w:rFonts w:ascii="Times New Roman" w:eastAsia="Times New Roman" w:hAnsi="Times New Roman" w:cs="Times New Roman"/>
          <w:kern w:val="0"/>
          <w14:ligatures w14:val="none"/>
        </w:rPr>
        <w:br/>
        <w:t>“Was there anything important that these tasks did not represent?”</w:t>
      </w:r>
    </w:p>
    <w:p w14:paraId="295F3326" w14:textId="77777777" w:rsidR="006C2525" w:rsidRPr="006C2525" w:rsidRDefault="006C2525" w:rsidP="006C2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525">
        <w:rPr>
          <w:rFonts w:ascii="Times New Roman" w:eastAsia="Times New Roman" w:hAnsi="Times New Roman" w:cs="Times New Roman"/>
          <w:b/>
          <w:bCs/>
          <w:kern w:val="0"/>
          <w:sz w:val="36"/>
          <w:szCs w:val="36"/>
          <w14:ligatures w14:val="none"/>
        </w:rPr>
        <w:t>Closing Statement</w:t>
      </w:r>
    </w:p>
    <w:p w14:paraId="4439FA84"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Thank you for participating. We are evaluating the system, and difficulties help identify what needs improvement. You may ask questions, change your decision about a later study, or request removal of linkable data within 14 days of your final session. Your research and participant-rights contacts are included in your information sheet.</w:t>
      </w:r>
    </w:p>
    <w:p w14:paraId="7F4C7F41" w14:textId="77777777" w:rsidR="006C2525" w:rsidRPr="006C2525" w:rsidRDefault="006C2525" w:rsidP="006C25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2525">
        <w:rPr>
          <w:rFonts w:ascii="Times New Roman" w:eastAsia="Times New Roman" w:hAnsi="Times New Roman" w:cs="Times New Roman"/>
          <w:b/>
          <w:bCs/>
          <w:kern w:val="36"/>
          <w:sz w:val="48"/>
          <w:szCs w:val="48"/>
          <w14:ligatures w14:val="none"/>
        </w:rPr>
        <w:t>References</w:t>
      </w:r>
    </w:p>
    <w:p w14:paraId="34BAD0A2"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 xml:space="preserve">[1] Soares, J. C., et al. (2021). Verification of a Mobile Psychoacoustic Test System. </w:t>
      </w:r>
      <w:r w:rsidRPr="006C2525">
        <w:rPr>
          <w:rFonts w:ascii="Times New Roman" w:eastAsia="Times New Roman" w:hAnsi="Times New Roman" w:cs="Times New Roman"/>
          <w:i/>
          <w:iCs/>
          <w:kern w:val="0"/>
          <w14:ligatures w14:val="none"/>
        </w:rPr>
        <w:t>Audiology Research, 11</w:t>
      </w:r>
      <w:r w:rsidRPr="006C2525">
        <w:rPr>
          <w:rFonts w:ascii="Times New Roman" w:eastAsia="Times New Roman" w:hAnsi="Times New Roman" w:cs="Times New Roman"/>
          <w:kern w:val="0"/>
          <w14:ligatures w14:val="none"/>
        </w:rPr>
        <w:t xml:space="preserve">(4), 673–690. </w:t>
      </w:r>
      <w:hyperlink r:id="rId6" w:history="1">
        <w:r w:rsidRPr="006C2525">
          <w:rPr>
            <w:rFonts w:ascii="Times New Roman" w:eastAsia="Times New Roman" w:hAnsi="Times New Roman" w:cs="Times New Roman"/>
            <w:color w:val="0000FF"/>
            <w:kern w:val="0"/>
            <w:u w:val="single"/>
            <w14:ligatures w14:val="none"/>
          </w:rPr>
          <w:t>https://doi.org/10.3390/audiolres11040061</w:t>
        </w:r>
      </w:hyperlink>
    </w:p>
    <w:p w14:paraId="7DE29F9A"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lastRenderedPageBreak/>
        <w:t xml:space="preserve">[2] </w:t>
      </w:r>
      <w:proofErr w:type="spellStart"/>
      <w:r w:rsidRPr="006C2525">
        <w:rPr>
          <w:rFonts w:ascii="Times New Roman" w:eastAsia="Times New Roman" w:hAnsi="Times New Roman" w:cs="Times New Roman"/>
          <w:kern w:val="0"/>
          <w14:ligatures w14:val="none"/>
        </w:rPr>
        <w:t>Karpodini</w:t>
      </w:r>
      <w:proofErr w:type="spellEnd"/>
      <w:r w:rsidRPr="006C2525">
        <w:rPr>
          <w:rFonts w:ascii="Times New Roman" w:eastAsia="Times New Roman" w:hAnsi="Times New Roman" w:cs="Times New Roman"/>
          <w:kern w:val="0"/>
          <w14:ligatures w14:val="none"/>
        </w:rPr>
        <w:t xml:space="preserve">, C., Michailidis, T., Creed, C., Stockman, T., &amp; Williams, I. (2025). Vibration Or Voice? Enhancing EQ Information Accessibility for Blind Music Producers with Haptics. </w:t>
      </w:r>
      <w:r w:rsidRPr="006C2525">
        <w:rPr>
          <w:rFonts w:ascii="Times New Roman" w:eastAsia="Times New Roman" w:hAnsi="Times New Roman" w:cs="Times New Roman"/>
          <w:i/>
          <w:iCs/>
          <w:kern w:val="0"/>
          <w14:ligatures w14:val="none"/>
        </w:rPr>
        <w:t>Proceedings of the 27th International ACM SIGACCESS Conference on Computers and Accessibility</w:t>
      </w:r>
      <w:r w:rsidRPr="006C2525">
        <w:rPr>
          <w:rFonts w:ascii="Times New Roman" w:eastAsia="Times New Roman" w:hAnsi="Times New Roman" w:cs="Times New Roman"/>
          <w:kern w:val="0"/>
          <w14:ligatures w14:val="none"/>
        </w:rPr>
        <w:t xml:space="preserve">. </w:t>
      </w:r>
      <w:hyperlink r:id="rId7" w:history="1">
        <w:r w:rsidRPr="006C2525">
          <w:rPr>
            <w:rFonts w:ascii="Times New Roman" w:eastAsia="Times New Roman" w:hAnsi="Times New Roman" w:cs="Times New Roman"/>
            <w:color w:val="0000FF"/>
            <w:kern w:val="0"/>
            <w:u w:val="single"/>
            <w14:ligatures w14:val="none"/>
          </w:rPr>
          <w:t>https://doi.org/10.1145/3663547.3746374</w:t>
        </w:r>
      </w:hyperlink>
    </w:p>
    <w:p w14:paraId="7A11E575"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 xml:space="preserve">[3] Kane, S. K., </w:t>
      </w:r>
      <w:proofErr w:type="spellStart"/>
      <w:r w:rsidRPr="006C2525">
        <w:rPr>
          <w:rFonts w:ascii="Times New Roman" w:eastAsia="Times New Roman" w:hAnsi="Times New Roman" w:cs="Times New Roman"/>
          <w:kern w:val="0"/>
          <w14:ligatures w14:val="none"/>
        </w:rPr>
        <w:t>Wobbrock</w:t>
      </w:r>
      <w:proofErr w:type="spellEnd"/>
      <w:r w:rsidRPr="006C2525">
        <w:rPr>
          <w:rFonts w:ascii="Times New Roman" w:eastAsia="Times New Roman" w:hAnsi="Times New Roman" w:cs="Times New Roman"/>
          <w:kern w:val="0"/>
          <w14:ligatures w14:val="none"/>
        </w:rPr>
        <w:t xml:space="preserve">, J. O., &amp; Ladner, R. E. (2011). Usable Gestures for Blind People: Understanding Preference and Performance. </w:t>
      </w:r>
      <w:r w:rsidRPr="006C2525">
        <w:rPr>
          <w:rFonts w:ascii="Times New Roman" w:eastAsia="Times New Roman" w:hAnsi="Times New Roman" w:cs="Times New Roman"/>
          <w:i/>
          <w:iCs/>
          <w:kern w:val="0"/>
          <w14:ligatures w14:val="none"/>
        </w:rPr>
        <w:t>Proceedings of the SIGCHI Conference on Human Factors in Computing Systems</w:t>
      </w:r>
      <w:r w:rsidRPr="006C2525">
        <w:rPr>
          <w:rFonts w:ascii="Times New Roman" w:eastAsia="Times New Roman" w:hAnsi="Times New Roman" w:cs="Times New Roman"/>
          <w:kern w:val="0"/>
          <w14:ligatures w14:val="none"/>
        </w:rPr>
        <w:t xml:space="preserve">. </w:t>
      </w:r>
      <w:hyperlink r:id="rId8" w:history="1">
        <w:r w:rsidRPr="006C2525">
          <w:rPr>
            <w:rFonts w:ascii="Times New Roman" w:eastAsia="Times New Roman" w:hAnsi="Times New Roman" w:cs="Times New Roman"/>
            <w:color w:val="0000FF"/>
            <w:kern w:val="0"/>
            <w:u w:val="single"/>
            <w14:ligatures w14:val="none"/>
          </w:rPr>
          <w:t>https://userpages.umbc.edu/~skane/pubs/chi11-gestures.pdf</w:t>
        </w:r>
      </w:hyperlink>
    </w:p>
    <w:p w14:paraId="1B9CA5C7"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 xml:space="preserve">[4] Findlater, L., &amp; </w:t>
      </w:r>
      <w:proofErr w:type="spellStart"/>
      <w:r w:rsidRPr="006C2525">
        <w:rPr>
          <w:rFonts w:ascii="Times New Roman" w:eastAsia="Times New Roman" w:hAnsi="Times New Roman" w:cs="Times New Roman"/>
          <w:kern w:val="0"/>
          <w14:ligatures w14:val="none"/>
        </w:rPr>
        <w:t>McGrenere</w:t>
      </w:r>
      <w:proofErr w:type="spellEnd"/>
      <w:r w:rsidRPr="006C2525">
        <w:rPr>
          <w:rFonts w:ascii="Times New Roman" w:eastAsia="Times New Roman" w:hAnsi="Times New Roman" w:cs="Times New Roman"/>
          <w:kern w:val="0"/>
          <w14:ligatures w14:val="none"/>
        </w:rPr>
        <w:t xml:space="preserve">, J. (2004). A Comparison of Static, Adaptive, and Adaptable Menus. </w:t>
      </w:r>
      <w:r w:rsidRPr="006C2525">
        <w:rPr>
          <w:rFonts w:ascii="Times New Roman" w:eastAsia="Times New Roman" w:hAnsi="Times New Roman" w:cs="Times New Roman"/>
          <w:i/>
          <w:iCs/>
          <w:kern w:val="0"/>
          <w14:ligatures w14:val="none"/>
        </w:rPr>
        <w:t>Proceedings of the SIGCHI Conference on Human Factors in Computing Systems</w:t>
      </w:r>
      <w:r w:rsidRPr="006C2525">
        <w:rPr>
          <w:rFonts w:ascii="Times New Roman" w:eastAsia="Times New Roman" w:hAnsi="Times New Roman" w:cs="Times New Roman"/>
          <w:kern w:val="0"/>
          <w14:ligatures w14:val="none"/>
        </w:rPr>
        <w:t xml:space="preserve">. </w:t>
      </w:r>
      <w:hyperlink r:id="rId9" w:history="1">
        <w:r w:rsidRPr="006C2525">
          <w:rPr>
            <w:rFonts w:ascii="Times New Roman" w:eastAsia="Times New Roman" w:hAnsi="Times New Roman" w:cs="Times New Roman"/>
            <w:color w:val="0000FF"/>
            <w:kern w:val="0"/>
            <w:u w:val="single"/>
            <w14:ligatures w14:val="none"/>
          </w:rPr>
          <w:t>https://doi.org/10.1145/985692.985704</w:t>
        </w:r>
      </w:hyperlink>
    </w:p>
    <w:p w14:paraId="639088E6"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 xml:space="preserve">[5] International Telecommunication Union. (2015). </w:t>
      </w:r>
      <w:r w:rsidRPr="006C2525">
        <w:rPr>
          <w:rFonts w:ascii="Times New Roman" w:eastAsia="Times New Roman" w:hAnsi="Times New Roman" w:cs="Times New Roman"/>
          <w:i/>
          <w:iCs/>
          <w:kern w:val="0"/>
          <w14:ligatures w14:val="none"/>
        </w:rPr>
        <w:t>Recommendation ITU-R BS.1534-3: Method for the Subjective Assessment of Intermediate Quality Level of Audio Systems</w:t>
      </w:r>
      <w:r w:rsidRPr="006C2525">
        <w:rPr>
          <w:rFonts w:ascii="Times New Roman" w:eastAsia="Times New Roman" w:hAnsi="Times New Roman" w:cs="Times New Roman"/>
          <w:kern w:val="0"/>
          <w14:ligatures w14:val="none"/>
        </w:rPr>
        <w:t xml:space="preserve">. </w:t>
      </w:r>
      <w:hyperlink r:id="rId10" w:history="1">
        <w:r w:rsidRPr="006C2525">
          <w:rPr>
            <w:rFonts w:ascii="Times New Roman" w:eastAsia="Times New Roman" w:hAnsi="Times New Roman" w:cs="Times New Roman"/>
            <w:color w:val="0000FF"/>
            <w:kern w:val="0"/>
            <w:u w:val="single"/>
            <w14:ligatures w14:val="none"/>
          </w:rPr>
          <w:t>https://www.itu.int/rec/R-REC-BS.1534-3-201510-I/en</w:t>
        </w:r>
      </w:hyperlink>
    </w:p>
    <w:p w14:paraId="3AE0D5F1" w14:textId="77777777" w:rsidR="006C2525" w:rsidRPr="006C2525" w:rsidRDefault="006C2525" w:rsidP="006C2525">
      <w:pPr>
        <w:spacing w:before="100" w:beforeAutospacing="1" w:after="100" w:afterAutospacing="1" w:line="240" w:lineRule="auto"/>
        <w:rPr>
          <w:rFonts w:ascii="Times New Roman" w:eastAsia="Times New Roman" w:hAnsi="Times New Roman" w:cs="Times New Roman"/>
          <w:kern w:val="0"/>
          <w14:ligatures w14:val="none"/>
        </w:rPr>
      </w:pPr>
      <w:r w:rsidRPr="006C2525">
        <w:rPr>
          <w:rFonts w:ascii="Times New Roman" w:eastAsia="Times New Roman" w:hAnsi="Times New Roman" w:cs="Times New Roman"/>
          <w:kern w:val="0"/>
          <w14:ligatures w14:val="none"/>
        </w:rPr>
        <w:t xml:space="preserve">[6] </w:t>
      </w:r>
      <w:proofErr w:type="spellStart"/>
      <w:r w:rsidRPr="006C2525">
        <w:rPr>
          <w:rFonts w:ascii="Times New Roman" w:eastAsia="Times New Roman" w:hAnsi="Times New Roman" w:cs="Times New Roman"/>
          <w:kern w:val="0"/>
          <w14:ligatures w14:val="none"/>
        </w:rPr>
        <w:t>Lakens</w:t>
      </w:r>
      <w:proofErr w:type="spellEnd"/>
      <w:r w:rsidRPr="006C2525">
        <w:rPr>
          <w:rFonts w:ascii="Times New Roman" w:eastAsia="Times New Roman" w:hAnsi="Times New Roman" w:cs="Times New Roman"/>
          <w:kern w:val="0"/>
          <w14:ligatures w14:val="none"/>
        </w:rPr>
        <w:t xml:space="preserve">, D. (2022). Sample Size Justification. </w:t>
      </w:r>
      <w:r w:rsidRPr="006C2525">
        <w:rPr>
          <w:rFonts w:ascii="Times New Roman" w:eastAsia="Times New Roman" w:hAnsi="Times New Roman" w:cs="Times New Roman"/>
          <w:i/>
          <w:iCs/>
          <w:kern w:val="0"/>
          <w14:ligatures w14:val="none"/>
        </w:rPr>
        <w:t>Collabra: Psychology, 8</w:t>
      </w:r>
      <w:r w:rsidRPr="006C2525">
        <w:rPr>
          <w:rFonts w:ascii="Times New Roman" w:eastAsia="Times New Roman" w:hAnsi="Times New Roman" w:cs="Times New Roman"/>
          <w:kern w:val="0"/>
          <w14:ligatures w14:val="none"/>
        </w:rPr>
        <w:t xml:space="preserve">(1), 33267. </w:t>
      </w:r>
      <w:hyperlink r:id="rId11" w:history="1">
        <w:r w:rsidRPr="006C2525">
          <w:rPr>
            <w:rFonts w:ascii="Times New Roman" w:eastAsia="Times New Roman" w:hAnsi="Times New Roman" w:cs="Times New Roman"/>
            <w:color w:val="0000FF"/>
            <w:kern w:val="0"/>
            <w:u w:val="single"/>
            <w14:ligatures w14:val="none"/>
          </w:rPr>
          <w:t>https://doi.org/10.1525/collabra.33267</w:t>
        </w:r>
      </w:hyperlink>
    </w:p>
    <w:p w14:paraId="1F437542" w14:textId="77777777" w:rsidR="00233E58" w:rsidRDefault="00233E58"/>
    <w:sectPr w:rsidR="00233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525"/>
    <w:rsid w:val="000B6872"/>
    <w:rsid w:val="001244FC"/>
    <w:rsid w:val="00233E58"/>
    <w:rsid w:val="004031E3"/>
    <w:rsid w:val="0044535C"/>
    <w:rsid w:val="006927DB"/>
    <w:rsid w:val="006C2525"/>
    <w:rsid w:val="00833B80"/>
    <w:rsid w:val="0099319F"/>
    <w:rsid w:val="00A76096"/>
    <w:rsid w:val="00B647EE"/>
    <w:rsid w:val="00C36B0C"/>
    <w:rsid w:val="00CC6103"/>
    <w:rsid w:val="00DF57B6"/>
    <w:rsid w:val="00EC0ABA"/>
    <w:rsid w:val="00F13A41"/>
    <w:rsid w:val="00F32C52"/>
    <w:rsid w:val="00F505C5"/>
    <w:rsid w:val="00FC3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81F3AA"/>
  <w15:chartTrackingRefBased/>
  <w15:docId w15:val="{B8B42901-D3E3-C149-8623-16E5D3967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2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2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Academic">
    <w:name w:val="APA Academic"/>
    <w:basedOn w:val="Normal"/>
    <w:qFormat/>
    <w:rsid w:val="00233E58"/>
    <w:pPr>
      <w:spacing w:line="480" w:lineRule="auto"/>
    </w:pPr>
    <w:rPr>
      <w:rFonts w:ascii="Times New Roman" w:hAnsi="Times New Roman" w:cs="Times New Roman"/>
      <w:bCs/>
    </w:rPr>
  </w:style>
  <w:style w:type="character" w:customStyle="1" w:styleId="Heading1Char">
    <w:name w:val="Heading 1 Char"/>
    <w:basedOn w:val="DefaultParagraphFont"/>
    <w:link w:val="Heading1"/>
    <w:uiPriority w:val="9"/>
    <w:rsid w:val="006C2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2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2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525"/>
    <w:rPr>
      <w:rFonts w:eastAsiaTheme="majorEastAsia" w:cstheme="majorBidi"/>
      <w:color w:val="272727" w:themeColor="text1" w:themeTint="D8"/>
    </w:rPr>
  </w:style>
  <w:style w:type="paragraph" w:styleId="Title">
    <w:name w:val="Title"/>
    <w:basedOn w:val="Normal"/>
    <w:next w:val="Normal"/>
    <w:link w:val="TitleChar"/>
    <w:uiPriority w:val="10"/>
    <w:qFormat/>
    <w:rsid w:val="006C2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525"/>
    <w:pPr>
      <w:spacing w:before="160"/>
      <w:jc w:val="center"/>
    </w:pPr>
    <w:rPr>
      <w:i/>
      <w:iCs/>
      <w:color w:val="404040" w:themeColor="text1" w:themeTint="BF"/>
    </w:rPr>
  </w:style>
  <w:style w:type="character" w:customStyle="1" w:styleId="QuoteChar">
    <w:name w:val="Quote Char"/>
    <w:basedOn w:val="DefaultParagraphFont"/>
    <w:link w:val="Quote"/>
    <w:uiPriority w:val="29"/>
    <w:rsid w:val="006C2525"/>
    <w:rPr>
      <w:i/>
      <w:iCs/>
      <w:color w:val="404040" w:themeColor="text1" w:themeTint="BF"/>
    </w:rPr>
  </w:style>
  <w:style w:type="paragraph" w:styleId="ListParagraph">
    <w:name w:val="List Paragraph"/>
    <w:basedOn w:val="Normal"/>
    <w:uiPriority w:val="34"/>
    <w:qFormat/>
    <w:rsid w:val="006C2525"/>
    <w:pPr>
      <w:ind w:left="720"/>
      <w:contextualSpacing/>
    </w:pPr>
  </w:style>
  <w:style w:type="character" w:styleId="IntenseEmphasis">
    <w:name w:val="Intense Emphasis"/>
    <w:basedOn w:val="DefaultParagraphFont"/>
    <w:uiPriority w:val="21"/>
    <w:qFormat/>
    <w:rsid w:val="006C2525"/>
    <w:rPr>
      <w:i/>
      <w:iCs/>
      <w:color w:val="0F4761" w:themeColor="accent1" w:themeShade="BF"/>
    </w:rPr>
  </w:style>
  <w:style w:type="paragraph" w:styleId="IntenseQuote">
    <w:name w:val="Intense Quote"/>
    <w:basedOn w:val="Normal"/>
    <w:next w:val="Normal"/>
    <w:link w:val="IntenseQuoteChar"/>
    <w:uiPriority w:val="30"/>
    <w:qFormat/>
    <w:rsid w:val="006C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525"/>
    <w:rPr>
      <w:i/>
      <w:iCs/>
      <w:color w:val="0F4761" w:themeColor="accent1" w:themeShade="BF"/>
    </w:rPr>
  </w:style>
  <w:style w:type="character" w:styleId="IntenseReference">
    <w:name w:val="Intense Reference"/>
    <w:basedOn w:val="DefaultParagraphFont"/>
    <w:uiPriority w:val="32"/>
    <w:qFormat/>
    <w:rsid w:val="006C2525"/>
    <w:rPr>
      <w:b/>
      <w:bCs/>
      <w:smallCaps/>
      <w:color w:val="0F4761" w:themeColor="accent1" w:themeShade="BF"/>
      <w:spacing w:val="5"/>
    </w:rPr>
  </w:style>
  <w:style w:type="paragraph" w:styleId="NormalWeb">
    <w:name w:val="Normal (Web)"/>
    <w:basedOn w:val="Normal"/>
    <w:uiPriority w:val="99"/>
    <w:semiHidden/>
    <w:unhideWhenUsed/>
    <w:rsid w:val="006C25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2525"/>
    <w:rPr>
      <w:b/>
      <w:bCs/>
    </w:rPr>
  </w:style>
  <w:style w:type="character" w:styleId="Hyperlink">
    <w:name w:val="Hyperlink"/>
    <w:basedOn w:val="DefaultParagraphFont"/>
    <w:uiPriority w:val="99"/>
    <w:semiHidden/>
    <w:unhideWhenUsed/>
    <w:rsid w:val="006C2525"/>
    <w:rPr>
      <w:color w:val="0000FF"/>
      <w:u w:val="single"/>
    </w:rPr>
  </w:style>
  <w:style w:type="character" w:styleId="Emphasis">
    <w:name w:val="Emphasis"/>
    <w:basedOn w:val="DefaultParagraphFont"/>
    <w:uiPriority w:val="20"/>
    <w:qFormat/>
    <w:rsid w:val="006C25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erpages.umbc.edu/~skane/pubs/chi11-gestures.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145/3663547.3746374"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90/audiolres11040061" TargetMode="External"/><Relationship Id="rId11" Type="http://schemas.openxmlformats.org/officeDocument/2006/relationships/hyperlink" Target="https://doi.org/10.1525/collabra.33267" TargetMode="External"/><Relationship Id="rId5" Type="http://schemas.openxmlformats.org/officeDocument/2006/relationships/hyperlink" Target="mailto:BerkleeIRB@berklee.edu" TargetMode="External"/><Relationship Id="rId10" Type="http://schemas.openxmlformats.org/officeDocument/2006/relationships/hyperlink" Target="https://www.itu.int/rec/R-REC-BS.1534-3-201510-I/en" TargetMode="External"/><Relationship Id="rId4" Type="http://schemas.openxmlformats.org/officeDocument/2006/relationships/hyperlink" Target="mailto:BerkleeIRB@berklee.edu" TargetMode="External"/><Relationship Id="rId9" Type="http://schemas.openxmlformats.org/officeDocument/2006/relationships/hyperlink" Target="https://doi.org/10.1145/985692.9857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18</Pages>
  <Words>5740</Words>
  <Characters>32721</Characters>
  <Application>Microsoft Office Word</Application>
  <DocSecurity>0</DocSecurity>
  <Lines>272</Lines>
  <Paragraphs>76</Paragraphs>
  <ScaleCrop>false</ScaleCrop>
  <Company/>
  <LinksUpToDate>false</LinksUpToDate>
  <CharactersWithSpaces>38385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Jinlan Zhao</dc:creator>
  <cp:keywords/>
  <dc:description/>
  <cp:lastModifiedBy>Jinlan Zhao</cp:lastModifiedBy>
  <cp:revision>15</cp:revision>
  <dcterms:created xsi:type="dcterms:W3CDTF">2026-10-14T18:57:00Z</dcterms:created>
  <dcterms:modified xsi:type="dcterms:W3CDTF">2026-10-28T15:56:00Z</dcterms:modified>
</cp:coreProperties>
</file>