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87FB19">
      <w:pPr>
        <w:rPr>
          <w:rFonts w:ascii="Times New Roman" w:hAnsi="Times New Roman" w:eastAsia="宋体" w:cs="Times New Roman"/>
          <w:sz w:val="22"/>
        </w:rPr>
      </w:pPr>
      <w:r>
        <w:rPr>
          <w:rFonts w:hint="eastAsia" w:ascii="Times New Roman Regular" w:hAnsi="Times New Roman Regular" w:eastAsia="宋体" w:cs="Times New Roman Regular"/>
        </w:rPr>
        <w:t>刘元月</w:t>
      </w:r>
    </w:p>
    <w:p w14:paraId="713CA303">
      <w:pPr>
        <w:rPr>
          <w:rFonts w:ascii="Times New Roman" w:hAnsi="Times New Roman" w:eastAsia="宋体" w:cs="Times New Roman"/>
          <w:sz w:val="22"/>
        </w:rPr>
      </w:pPr>
      <w:r>
        <w:rPr>
          <w:rFonts w:ascii="Times New Roman" w:hAnsi="Times New Roman" w:eastAsia="宋体" w:cs="Times New Roman"/>
          <w:sz w:val="22"/>
        </w:rPr>
        <w:t>职称：</w:t>
      </w:r>
      <w:r>
        <w:rPr>
          <w:rFonts w:hint="eastAsia" w:ascii="Times New Roman" w:hAnsi="Times New Roman" w:eastAsia="宋体" w:cs="Times New Roman"/>
          <w:sz w:val="22"/>
        </w:rPr>
        <w:t>助理研究员、硕士生导师</w:t>
      </w:r>
    </w:p>
    <w:p w14:paraId="4F8B2DCC">
      <w:pPr>
        <w:rPr>
          <w:rFonts w:hint="eastAsia" w:ascii="Times New Roman" w:hAnsi="Times New Roman" w:eastAsia="宋体" w:cs="Times New Roman"/>
          <w:sz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单位：重庆大学管理科学与房地产学院</w:t>
      </w:r>
    </w:p>
    <w:p w14:paraId="3CF3EFB2">
      <w:pPr>
        <w:rPr>
          <w:rFonts w:ascii="Times New Roman" w:hAnsi="Times New Roman" w:eastAsia="宋体" w:cs="Times New Roman"/>
          <w:sz w:val="22"/>
        </w:rPr>
      </w:pPr>
      <w:r>
        <w:rPr>
          <w:rFonts w:ascii="Times New Roman" w:hAnsi="Times New Roman" w:eastAsia="宋体" w:cs="Times New Roman"/>
          <w:sz w:val="22"/>
        </w:rPr>
        <w:t>系所：财务管理系</w:t>
      </w:r>
    </w:p>
    <w:p w14:paraId="0D04F95D">
      <w:pPr>
        <w:rPr>
          <w:rFonts w:hint="eastAsia" w:ascii="Times New Roman" w:hAnsi="Times New Roman" w:eastAsia="宋体" w:cs="Times New Roman"/>
          <w:sz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研究领域：宏观经济；气候金融；资产定价；生产-金融网络以及资产价格泡沫等</w:t>
      </w:r>
    </w:p>
    <w:p w14:paraId="5851FAB6">
      <w:pPr>
        <w:rPr>
          <w:rFonts w:hint="eastAsia" w:ascii="Times New Roman" w:hAnsi="Times New Roman" w:eastAsia="宋体" w:cs="Times New Roman"/>
          <w:sz w:val="22"/>
          <w:lang w:eastAsia="zh-CN"/>
        </w:rPr>
      </w:pPr>
      <w:r>
        <w:rPr>
          <w:rFonts w:hint="eastAsia" w:ascii="Times New Roman" w:hAnsi="Times New Roman" w:eastAsia="宋体" w:cs="Times New Roman"/>
          <w:sz w:val="22"/>
        </w:rPr>
        <w:t>办公地点</w:t>
      </w:r>
      <w:r>
        <w:rPr>
          <w:rFonts w:hint="eastAsia" w:ascii="Times New Roman" w:hAnsi="Times New Roman" w:eastAsia="宋体" w:cs="Times New Roman"/>
          <w:sz w:val="22"/>
          <w:lang w:eastAsia="zh-CN"/>
        </w:rPr>
        <w:t>：管理科学与房地产学院</w:t>
      </w:r>
      <w:r>
        <w:rPr>
          <w:rFonts w:ascii="Times New Roman" w:hAnsi="Times New Roman" w:eastAsia="宋体" w:cs="Times New Roman"/>
          <w:sz w:val="22"/>
        </w:rPr>
        <w:t>50</w:t>
      </w:r>
      <w:r>
        <w:rPr>
          <w:rFonts w:hint="eastAsia" w:ascii="Times New Roman" w:hAnsi="Times New Roman" w:eastAsia="宋体" w:cs="Times New Roman"/>
          <w:sz w:val="22"/>
          <w:lang w:val="en-US" w:eastAsia="zh-CN"/>
        </w:rPr>
        <w:t>7</w:t>
      </w:r>
    </w:p>
    <w:p w14:paraId="03597244">
      <w:pPr>
        <w:rPr>
          <w:rFonts w:hint="eastAsia" w:ascii="Times New Roman" w:hAnsi="Times New Roman" w:eastAsia="宋体" w:cs="Times New Roman"/>
          <w:sz w:val="22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电子邮件</w:t>
      </w:r>
      <w:r>
        <w:rPr>
          <w:rFonts w:ascii="Times New Roman" w:hAnsi="Times New Roman" w:eastAsia="宋体" w:cs="Times New Roman"/>
          <w:sz w:val="22"/>
        </w:rPr>
        <w:t>：</w:t>
      </w:r>
      <w:r>
        <w:rPr>
          <w:rFonts w:hint="eastAsia"/>
        </w:rPr>
        <w:t>liuyuanyue@cqu.edu.cn</w:t>
      </w:r>
    </w:p>
    <w:p w14:paraId="6C9570C6">
      <w:pPr>
        <w:spacing w:line="312" w:lineRule="auto"/>
        <w:rPr>
          <w:rFonts w:hint="eastAsia" w:ascii="Times New Roman Regular" w:hAnsi="Times New Roman Regular" w:eastAsia="宋体" w:cs="Times New Roman Regular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lang w:val="en-US" w:eastAsia="zh-CN"/>
        </w:rPr>
        <w:t>邮政编码：400044</w:t>
      </w:r>
    </w:p>
    <w:p w14:paraId="13A179AB">
      <w:pPr>
        <w:spacing w:line="312" w:lineRule="auto"/>
        <w:rPr>
          <w:rFonts w:hint="default" w:ascii="Times New Roman Regular" w:hAnsi="Times New Roman Regular" w:eastAsia="宋体" w:cs="Times New Roman Regular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lang w:val="en-US" w:eastAsia="zh-CN"/>
        </w:rPr>
        <w:t>通讯地址：重庆市沙坪坝区沙正街174号</w:t>
      </w:r>
    </w:p>
    <w:p w14:paraId="4AB172B3">
      <w:pPr>
        <w:rPr>
          <w:rFonts w:ascii="Times New Roman Regular" w:hAnsi="Times New Roman Regular" w:eastAsia="宋体" w:cs="Times New Roman Regular"/>
          <w:b/>
          <w:bCs/>
          <w:sz w:val="24"/>
          <w:szCs w:val="32"/>
          <w:u w:val="thick" w:color="C00000"/>
        </w:rPr>
      </w:pPr>
    </w:p>
    <w:p w14:paraId="13CB11E4">
      <w:pPr>
        <w:rPr>
          <w:rFonts w:ascii="Times New Roman Regular" w:hAnsi="Times New Roman Regular" w:eastAsia="宋体" w:cs="Times New Roman Regular"/>
          <w:b/>
          <w:bCs/>
          <w:sz w:val="24"/>
          <w:szCs w:val="32"/>
          <w:u w:val="thick" w:color="C00000"/>
        </w:rPr>
      </w:pPr>
    </w:p>
    <w:p w14:paraId="04D3560A">
      <w:pPr>
        <w:rPr>
          <w:rFonts w:ascii="Times New Roman Regular" w:hAnsi="Times New Roman Regular" w:eastAsia="宋体" w:cs="Times New Roman Regular"/>
          <w:b/>
          <w:bCs/>
          <w:sz w:val="24"/>
          <w:szCs w:val="32"/>
          <w:u w:val="thick" w:color="C00000"/>
        </w:rPr>
      </w:pPr>
    </w:p>
    <w:p w14:paraId="014D8A7F">
      <w:pPr>
        <w:rPr>
          <w:rFonts w:ascii="Times New Roman Regular" w:hAnsi="Times New Roman Regular" w:eastAsia="宋体" w:cs="Times New Roman Regular"/>
          <w:b/>
          <w:bCs/>
          <w:sz w:val="24"/>
          <w:szCs w:val="32"/>
          <w:u w:val="thick"/>
        </w:rPr>
      </w:pPr>
      <w:r>
        <w:rPr>
          <w:rFonts w:ascii="Times New Roman Regular" w:hAnsi="Times New Roman Regular" w:eastAsia="宋体" w:cs="Times New Roman Regular"/>
          <w:b/>
          <w:bCs/>
          <w:sz w:val="24"/>
          <w:szCs w:val="32"/>
          <w:u w:val="thick" w:color="C00000"/>
        </w:rPr>
        <w:t>个人简介</w:t>
      </w:r>
      <w:r>
        <w:rPr>
          <w:rFonts w:hint="eastAsia" w:ascii="Times New Roman Regular" w:hAnsi="Times New Roman Regular" w:eastAsia="宋体" w:cs="Times New Roman Regular"/>
          <w:b/>
          <w:bCs/>
          <w:sz w:val="24"/>
          <w:szCs w:val="32"/>
          <w:u w:val="thick"/>
        </w:rPr>
        <w:t xml:space="preserve">                                                           </w:t>
      </w:r>
    </w:p>
    <w:p w14:paraId="14AC923C">
      <w:pPr>
        <w:spacing w:line="312" w:lineRule="auto"/>
        <w:rPr>
          <w:rFonts w:hint="eastAsia" w:ascii="宋体" w:hAnsi="宋体" w:eastAsia="宋体"/>
        </w:rPr>
      </w:pPr>
      <w:r>
        <w:rPr>
          <w:rFonts w:hint="eastAsia" w:ascii="Times New Roman Regular" w:hAnsi="Times New Roman Regular" w:eastAsia="宋体" w:cs="Times New Roman Regular"/>
        </w:rPr>
        <w:t>刘元月，</w:t>
      </w:r>
      <w:r>
        <w:rPr>
          <w:rFonts w:ascii="Times New Roman Regular" w:hAnsi="Times New Roman Regular" w:eastAsia="宋体" w:cs="Times New Roman Regular"/>
        </w:rPr>
        <w:t>中共党员，</w:t>
      </w:r>
      <w:r>
        <w:rPr>
          <w:rFonts w:hint="eastAsia" w:ascii="Times New Roman Regular" w:hAnsi="Times New Roman Regular" w:eastAsia="宋体" w:cs="Times New Roman Regular"/>
        </w:rPr>
        <w:t>重庆奉节人，厦门大学金融系经济学博士。重庆大学管理科学与房地产学院助理研究员，硕士生导师。专业研究领域为宏观经济增长、</w:t>
      </w:r>
      <w:r>
        <w:t>气候金融、生产—融资网络</w:t>
      </w:r>
      <w:r>
        <w:rPr>
          <w:rFonts w:hint="eastAsia"/>
        </w:rPr>
        <w:t>与</w:t>
      </w:r>
      <w:r>
        <w:t>资产价格泡沫</w:t>
      </w:r>
      <w:r>
        <w:rPr>
          <w:rFonts w:hint="eastAsia"/>
        </w:rPr>
        <w:t>，目前已在国内知名期刊《管理世界》、《管理科学学报》、《中国工业经济》、《中国管理科学》等期刊上发表论文，主持国家自然科学基金青年项目1项，多次参与国家社科基金重大项目、国家自然科学基金面上项目和教育部课题等，相关成果获得</w:t>
      </w:r>
      <w:r>
        <w:rPr>
          <w:rFonts w:hint="eastAsia" w:ascii="宋体" w:hAnsi="宋体" w:eastAsia="宋体"/>
        </w:rPr>
        <w:t>厦门市第十三次社科优秀成果奖。</w:t>
      </w:r>
    </w:p>
    <w:p w14:paraId="040BA797">
      <w:pPr>
        <w:rPr>
          <w:rFonts w:ascii="Times New Roman Regular" w:hAnsi="Times New Roman Regular" w:eastAsia="宋体" w:cs="Times New Roman Regular"/>
          <w:b/>
          <w:bCs/>
          <w:sz w:val="24"/>
          <w:szCs w:val="32"/>
          <w:u w:val="thick"/>
        </w:rPr>
      </w:pPr>
      <w:r>
        <w:rPr>
          <w:rFonts w:ascii="Times New Roman Regular" w:hAnsi="Times New Roman Regular" w:eastAsia="宋体" w:cs="Times New Roman Regular"/>
          <w:b/>
          <w:bCs/>
          <w:sz w:val="24"/>
          <w:szCs w:val="32"/>
          <w:u w:val="thick" w:color="C00000"/>
        </w:rPr>
        <w:t>教育经历</w:t>
      </w:r>
      <w:r>
        <w:rPr>
          <w:rFonts w:hint="eastAsia" w:ascii="Times New Roman Regular" w:hAnsi="Times New Roman Regular" w:eastAsia="宋体" w:cs="Times New Roman Regular"/>
          <w:b/>
          <w:bCs/>
          <w:sz w:val="24"/>
          <w:szCs w:val="32"/>
          <w:u w:val="thick"/>
        </w:rPr>
        <w:t xml:space="preserve">                                                           </w:t>
      </w:r>
    </w:p>
    <w:p w14:paraId="0CC4822C"/>
    <w:p w14:paraId="159D3E33">
      <w:r>
        <w:t>2015</w:t>
      </w:r>
      <w:r>
        <w:rPr>
          <w:rFonts w:hint="eastAsia"/>
        </w:rPr>
        <w:t>.09</w:t>
      </w:r>
      <w:r>
        <w:t>-2019</w:t>
      </w:r>
      <w:r>
        <w:rPr>
          <w:rFonts w:hint="eastAsia"/>
        </w:rPr>
        <w:t>.06</w:t>
      </w:r>
      <w:r>
        <w:t>，西南财经大学</w:t>
      </w:r>
      <w:r>
        <w:rPr>
          <w:rFonts w:hint="eastAsia"/>
        </w:rPr>
        <w:t xml:space="preserve">, </w:t>
      </w:r>
      <w:r>
        <w:t>金融数学创新实验班，理学和经济学</w:t>
      </w:r>
      <w:r>
        <w:rPr>
          <w:rFonts w:hint="eastAsia"/>
        </w:rPr>
        <w:t>双</w:t>
      </w:r>
      <w:r>
        <w:t>学士</w:t>
      </w:r>
      <w:bookmarkStart w:id="0" w:name="_GoBack"/>
      <w:bookmarkEnd w:id="0"/>
      <w:r>
        <w:t>学位</w:t>
      </w:r>
    </w:p>
    <w:p w14:paraId="3B00CF11">
      <w:r>
        <w:t>2019</w:t>
      </w:r>
      <w:r>
        <w:rPr>
          <w:rFonts w:hint="eastAsia"/>
        </w:rPr>
        <w:t>.09</w:t>
      </w:r>
      <w:r>
        <w:t>-2024</w:t>
      </w:r>
      <w:r>
        <w:rPr>
          <w:rFonts w:hint="eastAsia"/>
        </w:rPr>
        <w:t>.06</w:t>
      </w:r>
      <w:r>
        <w:t>，厦门大学，金融系，</w:t>
      </w:r>
      <w:r>
        <w:rPr>
          <w:rFonts w:hint="eastAsia"/>
        </w:rPr>
        <w:t>硕博连读，</w:t>
      </w:r>
      <w:r>
        <w:t>经济学博士</w:t>
      </w:r>
    </w:p>
    <w:p w14:paraId="13F954C0">
      <w:pPr>
        <w:rPr>
          <w:rFonts w:ascii="Times New Roman Regular" w:hAnsi="Times New Roman Regular" w:eastAsia="宋体" w:cs="Times New Roman Regular"/>
          <w:b/>
          <w:bCs/>
          <w:sz w:val="24"/>
          <w:szCs w:val="32"/>
          <w:u w:val="thick" w:color="C00000"/>
        </w:rPr>
      </w:pPr>
    </w:p>
    <w:p w14:paraId="564F55FC">
      <w:pPr>
        <w:rPr>
          <w:rFonts w:ascii="Times New Roman Regular" w:hAnsi="Times New Roman Regular" w:eastAsia="宋体" w:cs="Times New Roman Regular"/>
          <w:u w:val="thick"/>
        </w:rPr>
      </w:pPr>
      <w:r>
        <w:rPr>
          <w:rFonts w:ascii="Times New Roman Regular" w:hAnsi="Times New Roman Regular" w:eastAsia="宋体" w:cs="Times New Roman Regular"/>
          <w:b/>
          <w:bCs/>
          <w:sz w:val="24"/>
          <w:szCs w:val="32"/>
          <w:u w:val="thick" w:color="C00000"/>
        </w:rPr>
        <w:t>工作经历</w:t>
      </w:r>
      <w:r>
        <w:rPr>
          <w:rFonts w:hint="eastAsia" w:ascii="Times New Roman Regular" w:hAnsi="Times New Roman Regular" w:eastAsia="宋体" w:cs="Times New Roman Regular"/>
          <w:b/>
          <w:bCs/>
          <w:sz w:val="24"/>
          <w:szCs w:val="32"/>
          <w:u w:val="thick"/>
        </w:rPr>
        <w:t xml:space="preserve">                                                           </w:t>
      </w:r>
    </w:p>
    <w:p w14:paraId="29FA9BA7">
      <w:pPr>
        <w:rPr>
          <w:rFonts w:hint="eastAsia"/>
        </w:rPr>
      </w:pPr>
    </w:p>
    <w:p w14:paraId="28644C8D">
      <w:r>
        <w:rPr>
          <w:rFonts w:hint="eastAsia"/>
        </w:rPr>
        <w:t>2024.09-至今，重庆大学管理科学与房地产学院，弘深青年教师</w:t>
      </w:r>
    </w:p>
    <w:p w14:paraId="63D3F4D2">
      <w:r>
        <w:rPr>
          <w:rFonts w:hint="eastAsia"/>
        </w:rPr>
        <w:t>2025.09-至今，重庆大学管理科学与房地产学院，硕士生导师</w:t>
      </w:r>
    </w:p>
    <w:p w14:paraId="44F01F51">
      <w:pPr>
        <w:rPr>
          <w:rFonts w:hint="eastAsia" w:ascii="Times New Roman Regular" w:hAnsi="Times New Roman Regular" w:eastAsia="宋体" w:cs="Times New Roman Regular"/>
          <w:b/>
          <w:bCs/>
          <w:sz w:val="24"/>
          <w:szCs w:val="32"/>
          <w:u w:val="thick" w:color="C00000"/>
        </w:rPr>
      </w:pPr>
    </w:p>
    <w:p w14:paraId="3B736557">
      <w:pPr>
        <w:rPr>
          <w:rFonts w:ascii="Times New Roman Regular" w:hAnsi="Times New Roman Regular" w:eastAsia="宋体" w:cs="Times New Roman Regular"/>
          <w:u w:val="thick"/>
        </w:rPr>
      </w:pPr>
      <w:r>
        <w:rPr>
          <w:rFonts w:hint="eastAsia" w:ascii="Times New Roman Regular" w:hAnsi="Times New Roman Regular" w:eastAsia="宋体" w:cs="Times New Roman Regular"/>
          <w:b/>
          <w:bCs/>
          <w:sz w:val="24"/>
          <w:szCs w:val="32"/>
          <w:u w:val="thick" w:color="C00000"/>
        </w:rPr>
        <w:t>研究领域</w:t>
      </w:r>
      <w:r>
        <w:rPr>
          <w:rFonts w:hint="eastAsia" w:ascii="Times New Roman Regular" w:hAnsi="Times New Roman Regular" w:eastAsia="宋体" w:cs="Times New Roman Regular"/>
          <w:b/>
          <w:bCs/>
          <w:sz w:val="24"/>
          <w:szCs w:val="32"/>
          <w:u w:val="thick"/>
        </w:rPr>
        <w:t xml:space="preserve">                                                           </w:t>
      </w:r>
    </w:p>
    <w:p w14:paraId="675B91CE">
      <w:pPr>
        <w:spacing w:line="312" w:lineRule="auto"/>
        <w:rPr>
          <w:rFonts w:hint="eastAsia" w:ascii="Times New Roman Regular" w:hAnsi="Times New Roman Regular" w:eastAsia="宋体" w:cs="Times New Roman Regular"/>
        </w:rPr>
      </w:pPr>
    </w:p>
    <w:p w14:paraId="1AB71465">
      <w:pPr>
        <w:spacing w:line="312" w:lineRule="auto"/>
        <w:rPr>
          <w:rFonts w:ascii="Times New Roman Regular" w:hAnsi="Times New Roman Regular" w:eastAsia="宋体" w:cs="Times New Roman Regular"/>
        </w:rPr>
      </w:pPr>
      <w:r>
        <w:rPr>
          <w:rFonts w:hint="eastAsia" w:ascii="Times New Roman Regular" w:hAnsi="Times New Roman Regular" w:eastAsia="宋体" w:cs="Times New Roman Regular"/>
        </w:rPr>
        <w:t>宏观经济增长、</w:t>
      </w:r>
      <w:r>
        <w:t>气候金融、生产—融资网络</w:t>
      </w:r>
      <w:r>
        <w:rPr>
          <w:rFonts w:hint="eastAsia"/>
        </w:rPr>
        <w:t>与</w:t>
      </w:r>
      <w:r>
        <w:t>资产价格泡沫</w:t>
      </w:r>
      <w:r>
        <w:rPr>
          <w:rFonts w:hint="eastAsia"/>
        </w:rPr>
        <w:t>等。</w:t>
      </w:r>
      <w:r>
        <w:t>当前研究重点聚焦于气候变化背景下</w:t>
      </w:r>
      <w:r>
        <w:rPr>
          <w:rFonts w:hint="eastAsia"/>
        </w:rPr>
        <w:t>实体</w:t>
      </w:r>
      <w:r>
        <w:t>经济与金融体系的互动机制，探讨气候</w:t>
      </w:r>
      <w:r>
        <w:rPr>
          <w:rFonts w:hint="eastAsia"/>
        </w:rPr>
        <w:t>事件冲击</w:t>
      </w:r>
      <w:r>
        <w:t>以及绿色转型过程中的风险传导与溢出效应，为应对气候</w:t>
      </w:r>
      <w:r>
        <w:rPr>
          <w:rFonts w:hint="eastAsia"/>
        </w:rPr>
        <w:t>变化</w:t>
      </w:r>
      <w:r>
        <w:t>与实现经济</w:t>
      </w:r>
      <w:r>
        <w:rPr>
          <w:rFonts w:hint="eastAsia"/>
        </w:rPr>
        <w:t>绿色</w:t>
      </w:r>
      <w:r>
        <w:t>转型提供理论支撑与政策启示</w:t>
      </w:r>
      <w:r>
        <w:rPr>
          <w:rFonts w:hint="eastAsia"/>
        </w:rPr>
        <w:t>。</w:t>
      </w:r>
    </w:p>
    <w:p w14:paraId="4B17C321">
      <w:pPr>
        <w:rPr>
          <w:rFonts w:hint="eastAsia" w:ascii="Times New Roman Regular" w:hAnsi="Times New Roman Regular" w:eastAsia="宋体" w:cs="Times New Roman Regular"/>
          <w:b/>
          <w:bCs/>
          <w:sz w:val="24"/>
          <w:szCs w:val="32"/>
          <w:u w:val="thick" w:color="C00000"/>
        </w:rPr>
      </w:pPr>
    </w:p>
    <w:p w14:paraId="60CE19E6">
      <w:pPr>
        <w:rPr>
          <w:rFonts w:ascii="Times New Roman Regular" w:hAnsi="Times New Roman Regular" w:eastAsia="宋体" w:cs="Times New Roman Regular"/>
          <w:u w:val="thick"/>
        </w:rPr>
      </w:pPr>
      <w:r>
        <w:rPr>
          <w:rFonts w:hint="eastAsia" w:ascii="Times New Roman Regular" w:hAnsi="Times New Roman Regular" w:eastAsia="宋体" w:cs="Times New Roman Regular"/>
          <w:b/>
          <w:bCs/>
          <w:sz w:val="24"/>
          <w:szCs w:val="32"/>
          <w:u w:val="thick" w:color="C00000"/>
        </w:rPr>
        <w:t>代表论文</w:t>
      </w:r>
      <w:r>
        <w:rPr>
          <w:rFonts w:hint="eastAsia" w:ascii="Times New Roman Regular" w:hAnsi="Times New Roman Regular" w:eastAsia="宋体" w:cs="Times New Roman Regular"/>
          <w:b/>
          <w:bCs/>
          <w:sz w:val="24"/>
          <w:szCs w:val="32"/>
          <w:u w:val="thick"/>
        </w:rPr>
        <w:t xml:space="preserve">                                                           </w:t>
      </w:r>
    </w:p>
    <w:p w14:paraId="5D885AB7">
      <w:pPr>
        <w:spacing w:line="312" w:lineRule="auto"/>
        <w:rPr>
          <w:rFonts w:ascii="Times New Roman Regular" w:hAnsi="Times New Roman Regular" w:eastAsia="宋体" w:cs="Times New Roman Regular"/>
        </w:rPr>
      </w:pPr>
      <w:r>
        <w:rPr>
          <w:rFonts w:hint="eastAsia" w:ascii="Times New Roman Regular" w:hAnsi="Times New Roman Regular" w:eastAsia="宋体" w:cs="Times New Roman Regular"/>
        </w:rPr>
        <w:t xml:space="preserve">[1] 陈国进, 刘元月, 丁赛杰, 赵向琴. 宏观尾部风险、生产网络与行业产出[J]. </w:t>
      </w:r>
      <w:r>
        <w:rPr>
          <w:rFonts w:hint="eastAsia" w:ascii="Times New Roman Regular" w:hAnsi="Times New Roman Regular" w:eastAsia="宋体" w:cs="Times New Roman Regular"/>
          <w:b/>
          <w:bCs/>
        </w:rPr>
        <w:t>管理世界</w:t>
      </w:r>
      <w:r>
        <w:rPr>
          <w:rFonts w:hint="eastAsia" w:ascii="Times New Roman Regular" w:hAnsi="Times New Roman Regular" w:eastAsia="宋体" w:cs="Times New Roman Regular"/>
        </w:rPr>
        <w:t>, 2024, 40(02): 28-52.</w:t>
      </w:r>
    </w:p>
    <w:p w14:paraId="530D11F2">
      <w:pPr>
        <w:spacing w:line="312" w:lineRule="auto"/>
        <w:rPr>
          <w:rFonts w:ascii="Times New Roman Regular" w:hAnsi="Times New Roman Regular" w:eastAsia="宋体" w:cs="Times New Roman Regular"/>
        </w:rPr>
      </w:pPr>
      <w:r>
        <w:rPr>
          <w:rFonts w:hint="eastAsia" w:ascii="Times New Roman Regular" w:hAnsi="Times New Roman Regular" w:eastAsia="宋体" w:cs="Times New Roman Regular"/>
        </w:rPr>
        <w:t xml:space="preserve">[2] 刘元月, 陈国进, 赵向琴. 气候变化关注、风险对冲需求与股票超额收益[J]. </w:t>
      </w:r>
      <w:r>
        <w:rPr>
          <w:rFonts w:hint="eastAsia" w:ascii="Times New Roman Regular" w:hAnsi="Times New Roman Regular" w:eastAsia="宋体" w:cs="Times New Roman Regular"/>
          <w:b/>
          <w:bCs/>
        </w:rPr>
        <w:t>管理科学学报</w:t>
      </w:r>
      <w:r>
        <w:rPr>
          <w:rFonts w:hint="eastAsia" w:ascii="Times New Roman Regular" w:hAnsi="Times New Roman Regular" w:eastAsia="宋体" w:cs="Times New Roman Regular"/>
        </w:rPr>
        <w:t>, 2025, 28(09): 157-173.</w:t>
      </w:r>
    </w:p>
    <w:p w14:paraId="3776473B">
      <w:pPr>
        <w:spacing w:line="312" w:lineRule="auto"/>
        <w:rPr>
          <w:rFonts w:ascii="Times New Roman Regular" w:hAnsi="Times New Roman Regular" w:eastAsia="宋体" w:cs="Times New Roman Regular"/>
        </w:rPr>
      </w:pPr>
      <w:r>
        <w:rPr>
          <w:rFonts w:hint="eastAsia" w:ascii="Times New Roman Regular" w:hAnsi="Times New Roman Regular" w:eastAsia="宋体" w:cs="Times New Roman Regular"/>
        </w:rPr>
        <w:t xml:space="preserve">[3] 陈国进, 陈文鹏, 刘元月, 赵向琴. 金融不确定性冲击、生产——融资网络关联与企业产出[J]. </w:t>
      </w:r>
      <w:r>
        <w:rPr>
          <w:rFonts w:hint="eastAsia" w:ascii="Times New Roman Regular" w:hAnsi="Times New Roman Regular" w:eastAsia="宋体" w:cs="Times New Roman Regular"/>
          <w:b/>
          <w:bCs/>
        </w:rPr>
        <w:t>中国工业经济</w:t>
      </w:r>
      <w:r>
        <w:rPr>
          <w:rFonts w:hint="eastAsia" w:ascii="Times New Roman Regular" w:hAnsi="Times New Roman Regular" w:eastAsia="宋体" w:cs="Times New Roman Regular"/>
        </w:rPr>
        <w:t>, 2024, (03): 43-61.</w:t>
      </w:r>
    </w:p>
    <w:p w14:paraId="1A42CADE">
      <w:pPr>
        <w:spacing w:line="312" w:lineRule="auto"/>
        <w:rPr>
          <w:rFonts w:ascii="Times New Roman Regular" w:hAnsi="Times New Roman Regular" w:eastAsia="宋体" w:cs="Times New Roman Regular"/>
        </w:rPr>
      </w:pPr>
      <w:r>
        <w:rPr>
          <w:rFonts w:hint="eastAsia" w:ascii="Times New Roman Regular" w:hAnsi="Times New Roman Regular" w:eastAsia="宋体" w:cs="Times New Roman Regular"/>
        </w:rPr>
        <w:t xml:space="preserve">[4] 陈国进, 刘元月, 陈凌凌, 赵向琴. 广义失望厌恶、下行风险与中国股票市场定价[J]. </w:t>
      </w:r>
      <w:r>
        <w:rPr>
          <w:rFonts w:hint="eastAsia" w:ascii="Times New Roman Regular" w:hAnsi="Times New Roman Regular" w:eastAsia="宋体" w:cs="Times New Roman Regular"/>
          <w:b/>
          <w:bCs/>
        </w:rPr>
        <w:t>中国管理科学</w:t>
      </w:r>
      <w:r>
        <w:rPr>
          <w:rFonts w:hint="eastAsia" w:ascii="Times New Roman Regular" w:hAnsi="Times New Roman Regular" w:eastAsia="宋体" w:cs="Times New Roman Regular"/>
        </w:rPr>
        <w:t>, 2023, 31(07): 22-37.</w:t>
      </w:r>
    </w:p>
    <w:p w14:paraId="4BAC3DFE">
      <w:pPr>
        <w:spacing w:line="312" w:lineRule="auto"/>
        <w:rPr>
          <w:rFonts w:ascii="Times New Roman Regular" w:hAnsi="Times New Roman Regular" w:eastAsia="宋体" w:cs="Times New Roman Regular"/>
        </w:rPr>
      </w:pPr>
      <w:r>
        <w:rPr>
          <w:rFonts w:hint="eastAsia" w:ascii="Times New Roman Regular" w:hAnsi="Times New Roman Regular" w:eastAsia="宋体" w:cs="Times New Roman Regular"/>
        </w:rPr>
        <w:t xml:space="preserve">[5] </w:t>
      </w:r>
      <w:r>
        <w:rPr>
          <w:rFonts w:ascii="Times New Roman Regular" w:hAnsi="Times New Roman Regular" w:eastAsia="宋体" w:cs="Times New Roman Regular"/>
        </w:rPr>
        <w:t>陈国进, 陈凌凌, 刘元月, 赵向琴. 机构投资者理性泡沫骑乘及其动因探究</w:t>
      </w:r>
      <w:r>
        <w:rPr>
          <w:rFonts w:hint="eastAsia" w:ascii="Times New Roman Regular" w:hAnsi="Times New Roman Regular" w:eastAsia="宋体" w:cs="Times New Roman Regular"/>
        </w:rPr>
        <w:t xml:space="preserve">, </w:t>
      </w:r>
      <w:r>
        <w:rPr>
          <w:rFonts w:ascii="Times New Roman Regular" w:hAnsi="Times New Roman Regular" w:eastAsia="宋体" w:cs="Times New Roman Regular"/>
        </w:rPr>
        <w:t>中国金融学术年会，清华大学</w:t>
      </w:r>
      <w:r>
        <w:rPr>
          <w:rFonts w:hint="eastAsia" w:ascii="Times New Roman Regular" w:hAnsi="Times New Roman Regular" w:eastAsia="宋体" w:cs="Times New Roman Regular"/>
        </w:rPr>
        <w:t>，2022.</w:t>
      </w:r>
    </w:p>
    <w:p w14:paraId="71D244C3">
      <w:pPr>
        <w:rPr>
          <w:rFonts w:ascii="Times New Roman Regular" w:hAnsi="Times New Roman Regular" w:eastAsia="宋体" w:cs="Times New Roman Regular"/>
          <w:b/>
          <w:bCs/>
          <w:sz w:val="24"/>
          <w:szCs w:val="32"/>
          <w:u w:val="thick" w:color="C00000"/>
        </w:rPr>
      </w:pPr>
    </w:p>
    <w:p w14:paraId="0124E4D2">
      <w:pPr>
        <w:rPr>
          <w:rFonts w:ascii="Times New Roman Regular" w:hAnsi="Times New Roman Regular" w:eastAsia="宋体" w:cs="Times New Roman Regular"/>
          <w:u w:val="thick"/>
        </w:rPr>
      </w:pPr>
      <w:r>
        <w:rPr>
          <w:rFonts w:ascii="Times New Roman Regular" w:hAnsi="Times New Roman Regular" w:eastAsia="宋体" w:cs="Times New Roman Regular"/>
          <w:b/>
          <w:bCs/>
          <w:sz w:val="24"/>
          <w:szCs w:val="32"/>
          <w:u w:val="thick" w:color="C00000"/>
        </w:rPr>
        <w:t>兼任职务</w:t>
      </w:r>
      <w:r>
        <w:rPr>
          <w:rFonts w:hint="eastAsia" w:ascii="Times New Roman Regular" w:hAnsi="Times New Roman Regular" w:eastAsia="宋体" w:cs="Times New Roman Regular"/>
          <w:b/>
          <w:bCs/>
          <w:sz w:val="24"/>
          <w:szCs w:val="32"/>
          <w:u w:val="thick"/>
        </w:rPr>
        <w:t xml:space="preserve">                                                           </w:t>
      </w:r>
    </w:p>
    <w:p w14:paraId="6543F458">
      <w:pPr>
        <w:spacing w:line="312" w:lineRule="auto"/>
        <w:rPr>
          <w:rFonts w:ascii="Times New Roman Regular" w:hAnsi="Times New Roman Regular" w:eastAsia="宋体" w:cs="Times New Roman Regular"/>
        </w:rPr>
      </w:pPr>
      <w:r>
        <w:rPr>
          <w:rFonts w:hint="eastAsia" w:ascii="Times New Roman Regular" w:hAnsi="Times New Roman Regular" w:eastAsia="宋体" w:cs="Times New Roman Regular"/>
        </w:rPr>
        <w:t>担任</w:t>
      </w:r>
      <w:r>
        <w:rPr>
          <w:rFonts w:ascii="Times New Roman Regular" w:hAnsi="Times New Roman Regular" w:eastAsia="宋体" w:cs="Times New Roman Regular"/>
        </w:rPr>
        <w:t>Journal of Asian Economics</w:t>
      </w:r>
      <w:r>
        <w:rPr>
          <w:rFonts w:hint="eastAsia" w:ascii="Times New Roman Regular" w:hAnsi="Times New Roman Regular" w:eastAsia="宋体" w:cs="Times New Roman Regular"/>
        </w:rPr>
        <w:t>、</w:t>
      </w:r>
      <w:r>
        <w:rPr>
          <w:rFonts w:ascii="Times New Roman Regular" w:hAnsi="Times New Roman Regular" w:eastAsia="宋体" w:cs="Times New Roman Regular"/>
        </w:rPr>
        <w:t>Quarterly Review of Economics and Finan</w:t>
      </w:r>
      <w:r>
        <w:rPr>
          <w:rFonts w:hint="eastAsia" w:ascii="Times New Roman Regular" w:hAnsi="Times New Roman Regular" w:eastAsia="宋体" w:cs="Times New Roman Regular"/>
        </w:rPr>
        <w:t>ce等期刊审稿人</w:t>
      </w:r>
    </w:p>
    <w:p w14:paraId="291B0DCF">
      <w:pPr>
        <w:rPr>
          <w:rFonts w:ascii="Times New Roman Regular" w:hAnsi="Times New Roman Regular" w:eastAsia="宋体" w:cs="Times New Roman Regular"/>
          <w:b/>
          <w:bCs/>
          <w:sz w:val="24"/>
          <w:szCs w:val="32"/>
          <w:u w:val="thick" w:color="C00000"/>
        </w:rPr>
      </w:pPr>
    </w:p>
    <w:p w14:paraId="29E19041">
      <w:pPr>
        <w:rPr>
          <w:rFonts w:ascii="Times New Roman Regular" w:hAnsi="Times New Roman Regular" w:eastAsia="宋体" w:cs="Times New Roman Regular"/>
          <w:u w:val="thick"/>
        </w:rPr>
      </w:pPr>
      <w:r>
        <w:rPr>
          <w:rFonts w:ascii="Times New Roman Regular" w:hAnsi="Times New Roman Regular" w:eastAsia="宋体" w:cs="Times New Roman Regular"/>
          <w:b/>
          <w:bCs/>
          <w:sz w:val="24"/>
          <w:szCs w:val="32"/>
          <w:u w:val="thick" w:color="C00000"/>
        </w:rPr>
        <w:t>获奖情况</w:t>
      </w:r>
      <w:r>
        <w:rPr>
          <w:rFonts w:hint="eastAsia" w:ascii="Times New Roman Regular" w:hAnsi="Times New Roman Regular" w:eastAsia="宋体" w:cs="Times New Roman Regular"/>
          <w:b/>
          <w:bCs/>
          <w:sz w:val="24"/>
          <w:szCs w:val="32"/>
          <w:u w:val="thick"/>
        </w:rPr>
        <w:t xml:space="preserve">                                                           </w:t>
      </w:r>
    </w:p>
    <w:p w14:paraId="17E9AE4E">
      <w:pPr>
        <w:spacing w:line="312" w:lineRule="auto"/>
      </w:pPr>
      <w:r>
        <w:rPr>
          <w:rFonts w:hint="eastAsia"/>
        </w:rPr>
        <w:t>中国工商银行奖学金、邱华炳奖学金</w:t>
      </w:r>
    </w:p>
    <w:p w14:paraId="1820D5CC">
      <w:pPr>
        <w:spacing w:line="312" w:lineRule="auto"/>
      </w:pPr>
      <w:r>
        <w:rPr>
          <w:rFonts w:hint="eastAsia"/>
        </w:rPr>
        <w:t>厦门大学校三好学生、厦门大学优秀毕业生</w:t>
      </w:r>
    </w:p>
    <w:p w14:paraId="1D8D16BD">
      <w:pPr>
        <w:spacing w:line="312" w:lineRule="auto"/>
        <w:rPr>
          <w:rFonts w:ascii="Times New Roman Regular" w:hAnsi="Times New Roman Regular" w:eastAsia="宋体" w:cs="Times New Roman Regular"/>
        </w:rPr>
      </w:pPr>
      <w:r>
        <w:rPr>
          <w:rFonts w:hint="eastAsia" w:ascii="宋体" w:hAnsi="宋体" w:eastAsia="宋体"/>
        </w:rPr>
        <w:t>厦门市第十三次社科优秀成果奖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FFFA306E"/>
    <w:rsid w:val="0025332B"/>
    <w:rsid w:val="00384427"/>
    <w:rsid w:val="0046289F"/>
    <w:rsid w:val="0067324D"/>
    <w:rsid w:val="0079427E"/>
    <w:rsid w:val="007B6915"/>
    <w:rsid w:val="00985B37"/>
    <w:rsid w:val="00B13CC2"/>
    <w:rsid w:val="00B34B2C"/>
    <w:rsid w:val="00C16AA8"/>
    <w:rsid w:val="00DA1630"/>
    <w:rsid w:val="00F14C2A"/>
    <w:rsid w:val="00F76389"/>
    <w:rsid w:val="0F25555C"/>
    <w:rsid w:val="7FFE33A4"/>
    <w:rsid w:val="FFFA3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character" w:styleId="5">
    <w:name w:val="Hyperlink"/>
    <w:basedOn w:val="4"/>
    <w:unhideWhenUsed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668</Words>
  <Characters>823</Characters>
  <Lines>31</Lines>
  <Paragraphs>36</Paragraphs>
  <TotalTime>0</TotalTime>
  <ScaleCrop>false</ScaleCrop>
  <LinksUpToDate>false</LinksUpToDate>
  <CharactersWithSpaces>1455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2026-04-10T23:08:00Z</dcterms:created>
  <dc:creator>薛定谔的喵</dc:creator>
  <cp:lastModifiedBy>薛定谔的喵</cp:lastModifiedBy>
  <dcterms:modified xsi:type="dcterms:W3CDTF">2026-04-12T11:13:00Z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F9ADFDE343543487B2FFDA69934FC463_43</vt:lpwstr>
  </property>
</Properties>
</file>