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7FB19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陶向阳</w:t>
      </w:r>
    </w:p>
    <w:p w14:paraId="713CA303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职称：</w:t>
      </w:r>
      <w:r>
        <w:rPr>
          <w:rFonts w:hint="eastAsia" w:ascii="Times New Roman" w:hAnsi="Times New Roman" w:eastAsia="宋体" w:cs="Times New Roman"/>
          <w:sz w:val="22"/>
        </w:rPr>
        <w:t>助理研究员、硕士生导师</w:t>
      </w:r>
    </w:p>
    <w:p w14:paraId="4F8B2DCC">
      <w:pPr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单位：重庆大学管理科学与房地产学院</w:t>
      </w:r>
    </w:p>
    <w:p w14:paraId="3CF3EFB2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系所：财务管理系</w:t>
      </w:r>
    </w:p>
    <w:p w14:paraId="0D04F95D">
      <w:pPr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研究领域：数据科学与机器学习、智能评价与决策、激励理论与生产力分析</w:t>
      </w:r>
    </w:p>
    <w:p w14:paraId="5851FAB6">
      <w:pPr>
        <w:rPr>
          <w:rFonts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</w:rPr>
        <w:t>办公地点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：管理科学与房地产学院</w:t>
      </w:r>
      <w:r>
        <w:rPr>
          <w:rFonts w:ascii="Times New Roman" w:hAnsi="Times New Roman" w:eastAsia="宋体" w:cs="Times New Roman"/>
          <w:sz w:val="22"/>
        </w:rPr>
        <w:t>505</w:t>
      </w:r>
    </w:p>
    <w:p w14:paraId="03597244">
      <w:pPr>
        <w:rPr>
          <w:rFonts w:hint="eastAsia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电子邮件</w:t>
      </w:r>
      <w:r>
        <w:rPr>
          <w:rFonts w:ascii="Times New Roman" w:hAnsi="Times New Roman" w:eastAsia="宋体" w:cs="Times New Roman"/>
          <w:sz w:val="22"/>
        </w:rPr>
        <w:t>：</w:t>
      </w:r>
      <w:r>
        <w:fldChar w:fldCharType="begin"/>
      </w:r>
      <w:r>
        <w:instrText xml:space="preserve"> HYPERLINK "mailto:taoxiangyang@cqu.edu.cn" </w:instrText>
      </w:r>
      <w:r>
        <w:fldChar w:fldCharType="separate"/>
      </w:r>
      <w:r>
        <w:rPr>
          <w:rStyle w:val="5"/>
          <w:rFonts w:ascii="Times New Roman" w:hAnsi="Times New Roman" w:eastAsia="宋体" w:cs="Times New Roman"/>
          <w:sz w:val="22"/>
        </w:rPr>
        <w:t>taoxiangyang@cqu.edu.cn</w:t>
      </w:r>
      <w:r>
        <w:rPr>
          <w:rStyle w:val="5"/>
          <w:rFonts w:ascii="Times New Roman" w:hAnsi="Times New Roman" w:eastAsia="宋体" w:cs="Times New Roman"/>
          <w:sz w:val="22"/>
        </w:rPr>
        <w:fldChar w:fldCharType="end"/>
      </w:r>
    </w:p>
    <w:p w14:paraId="6C9570C6">
      <w:pPr>
        <w:spacing w:line="312" w:lineRule="auto"/>
        <w:rPr>
          <w:rFonts w:hint="eastAsia" w:ascii="Times New Roman Regular" w:hAnsi="Times New Roman Regular" w:eastAsia="宋体" w:cs="Times New Roman Regular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邮政编码：400044</w:t>
      </w:r>
    </w:p>
    <w:p w14:paraId="13A179AB">
      <w:pPr>
        <w:spacing w:line="312" w:lineRule="auto"/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通讯地址：重庆市沙坪坝区沙正街174号</w:t>
      </w:r>
      <w:bookmarkStart w:id="5" w:name="_GoBack"/>
      <w:bookmarkEnd w:id="5"/>
    </w:p>
    <w:p w14:paraId="111CAD51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014D8A7F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个人简介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3A20D2E7">
      <w:pPr>
        <w:rPr>
          <w:rFonts w:ascii="Times New Roman" w:hAnsi="Times New Roman" w:eastAsia="宋体" w:cs="Times New Roman"/>
          <w:sz w:val="22"/>
        </w:rPr>
      </w:pPr>
    </w:p>
    <w:p w14:paraId="18BFF574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陶向阳</w:t>
      </w:r>
      <w:r>
        <w:rPr>
          <w:rFonts w:hint="eastAsia" w:ascii="Times New Roman" w:hAnsi="Times New Roman" w:eastAsia="宋体" w:cs="Times New Roman"/>
          <w:sz w:val="22"/>
        </w:rPr>
        <w:t>，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中南</w:t>
      </w:r>
      <w:r>
        <w:rPr>
          <w:rFonts w:hint="eastAsia" w:ascii="Times New Roman" w:hAnsi="Times New Roman" w:eastAsia="宋体" w:cs="Times New Roman"/>
          <w:sz w:val="22"/>
        </w:rPr>
        <w:t>大学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商学院管理学</w:t>
      </w:r>
      <w:r>
        <w:rPr>
          <w:rFonts w:hint="eastAsia" w:ascii="Times New Roman" w:hAnsi="Times New Roman" w:eastAsia="宋体" w:cs="Times New Roman"/>
          <w:sz w:val="22"/>
        </w:rPr>
        <w:t>博士。重庆大学管理科学与房地产学院助理研究员，硕士生导师。专业研究领域为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数据科学与机器学习、智能评价与决策、激励理论与生产力分析</w:t>
      </w:r>
      <w:r>
        <w:rPr>
          <w:rFonts w:hint="eastAsia" w:ascii="Times New Roman" w:hAnsi="Times New Roman" w:eastAsia="宋体" w:cs="Times New Roman"/>
          <w:sz w:val="22"/>
        </w:rPr>
        <w:t>，目前已在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国内外高水平</w:t>
      </w:r>
      <w:r>
        <w:rPr>
          <w:rFonts w:hint="eastAsia" w:ascii="Times New Roman" w:hAnsi="Times New Roman" w:eastAsia="宋体" w:cs="Times New Roman"/>
          <w:sz w:val="22"/>
        </w:rPr>
        <w:t>期刊《系统工程理论与实践》、《European Journal of Operational Research》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2"/>
          <w:lang w:val="en-US" w:eastAsia="zh-CN"/>
        </w:rPr>
        <w:t>ABS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四星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）</w:t>
      </w:r>
      <w:r>
        <w:rPr>
          <w:rFonts w:hint="eastAsia" w:ascii="Times New Roman" w:hAnsi="Times New Roman" w:eastAsia="宋体" w:cs="Times New Roman"/>
          <w:sz w:val="22"/>
        </w:rPr>
        <w:t>等期刊上发表论文。</w:t>
      </w:r>
    </w:p>
    <w:p w14:paraId="7E4B5CA0">
      <w:pPr>
        <w:spacing w:line="312" w:lineRule="auto"/>
        <w:rPr>
          <w:rFonts w:ascii="Times New Roman Regular" w:hAnsi="Times New Roman Regular" w:eastAsia="宋体" w:cs="Times New Roman Regular"/>
        </w:rPr>
      </w:pPr>
    </w:p>
    <w:p w14:paraId="040BA797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教育经历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4C413076">
      <w:pPr>
        <w:rPr>
          <w:rFonts w:hint="eastAsia" w:ascii="Times New Roman" w:hAnsi="Times New Roman" w:eastAsia="宋体" w:cs="Times New Roman"/>
          <w:sz w:val="22"/>
        </w:rPr>
      </w:pPr>
    </w:p>
    <w:p w14:paraId="4B1C19BB">
      <w:pPr>
        <w:rPr>
          <w:rFonts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</w:rPr>
        <w:t>2</w:t>
      </w:r>
      <w:r>
        <w:rPr>
          <w:rFonts w:ascii="Times New Roman" w:hAnsi="Times New Roman" w:eastAsia="宋体" w:cs="Times New Roman"/>
          <w:sz w:val="22"/>
        </w:rPr>
        <w:t xml:space="preserve">013.09-2017.06 </w:t>
      </w:r>
      <w:r>
        <w:rPr>
          <w:rFonts w:hint="eastAsia" w:ascii="Times New Roman" w:hAnsi="Times New Roman" w:eastAsia="宋体" w:cs="Times New Roman"/>
          <w:sz w:val="22"/>
        </w:rPr>
        <w:t xml:space="preserve">武汉理工大学 管理学院 信息管理与信息系统 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hint="eastAsia" w:ascii="Times New Roman" w:hAnsi="Times New Roman" w:eastAsia="宋体" w:cs="Times New Roman"/>
          <w:sz w:val="22"/>
        </w:rPr>
        <w:t>管理学学士</w:t>
      </w:r>
    </w:p>
    <w:p w14:paraId="1013FA05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2017.09-2023.06 中南大学 商学院 管理科学与工程专业（硕博连读） 管理学博士</w:t>
      </w:r>
    </w:p>
    <w:p w14:paraId="2BE5A426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2022.05-2023.05 新加坡国立大学 商学院</w:t>
      </w:r>
      <w:r>
        <w:rPr>
          <w:rFonts w:hint="eastAsia"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t>亚太物流研究所 联合培养</w:t>
      </w:r>
    </w:p>
    <w:p w14:paraId="30EF54FC">
      <w:pPr>
        <w:rPr>
          <w:rFonts w:ascii="Times New Roman" w:hAnsi="Times New Roman" w:eastAsia="宋体" w:cs="Times New Roman"/>
          <w:sz w:val="22"/>
        </w:rPr>
      </w:pPr>
    </w:p>
    <w:p w14:paraId="564F55FC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工作经历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1BDB3CA5">
      <w:pPr>
        <w:rPr>
          <w:rFonts w:ascii="Times New Roman" w:hAnsi="Times New Roman" w:eastAsia="宋体" w:cs="Times New Roman"/>
          <w:sz w:val="22"/>
        </w:rPr>
      </w:pPr>
    </w:p>
    <w:p w14:paraId="2BDBA1AA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2023.07-至今  重庆大学管理科学与房地产学院，弘深青年教师</w:t>
      </w:r>
    </w:p>
    <w:p w14:paraId="63D3F4D2">
      <w:pPr>
        <w:spacing w:line="312" w:lineRule="auto"/>
        <w:rPr>
          <w:rFonts w:ascii="Times New Roman Regular" w:hAnsi="Times New Roman Regular" w:eastAsia="宋体" w:cs="Times New Roman Regular"/>
        </w:rPr>
      </w:pPr>
    </w:p>
    <w:p w14:paraId="3B736557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研究领域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46D04867">
      <w:pPr>
        <w:rPr>
          <w:rFonts w:hint="eastAsia" w:ascii="Times New Roman" w:hAnsi="Times New Roman" w:eastAsia="宋体" w:cs="Times New Roman"/>
          <w:sz w:val="22"/>
        </w:rPr>
      </w:pPr>
    </w:p>
    <w:p w14:paraId="1AB71465">
      <w:pPr>
        <w:rPr>
          <w:rFonts w:hint="eastAsia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</w:rPr>
        <w:t>数据科学与机器学习、智能评价与决策、激励理论与生产力分析</w:t>
      </w:r>
    </w:p>
    <w:p w14:paraId="11950C82">
      <w:pPr>
        <w:rPr>
          <w:rFonts w:hint="eastAsia" w:ascii="Times New Roman" w:hAnsi="Times New Roman" w:eastAsia="宋体" w:cs="Times New Roman"/>
          <w:sz w:val="22"/>
        </w:rPr>
      </w:pPr>
    </w:p>
    <w:p w14:paraId="60CE19E6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代表论文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4BACEB01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</w:rPr>
      </w:pPr>
      <w:bookmarkStart w:id="0" w:name="_Hlk223252891"/>
      <w:bookmarkStart w:id="1" w:name="_Hlk207988825"/>
      <w:r>
        <w:rPr>
          <w:rFonts w:hint="eastAsia" w:ascii="Times New Roman" w:hAnsi="Times New Roman" w:eastAsia="宋体" w:cs="Times New Roman"/>
          <w:b/>
          <w:bCs/>
          <w:sz w:val="22"/>
          <w:u w:val="single"/>
        </w:rPr>
        <w:t>陶向阳</w:t>
      </w:r>
      <w:r>
        <w:rPr>
          <w:rFonts w:hint="eastAsia" w:ascii="Times New Roman" w:hAnsi="Times New Roman" w:eastAsia="宋体" w:cs="Times New Roman"/>
          <w:sz w:val="22"/>
        </w:rPr>
        <w:t>,</w:t>
      </w:r>
      <w:r>
        <w:rPr>
          <w:rFonts w:ascii="Times New Roman" w:hAnsi="Times New Roman" w:eastAsia="宋体" w:cs="Times New Roman"/>
          <w:sz w:val="22"/>
        </w:rPr>
        <w:t xml:space="preserve"> 彭巧玉</w:t>
      </w:r>
      <w:r>
        <w:rPr>
          <w:rFonts w:hint="eastAsia" w:ascii="Times New Roman" w:hAnsi="Times New Roman" w:eastAsia="宋体" w:cs="Times New Roman"/>
          <w:sz w:val="22"/>
        </w:rPr>
        <w:t>*</w:t>
      </w:r>
      <w:r>
        <w:rPr>
          <w:rFonts w:ascii="Times New Roman" w:hAnsi="Times New Roman" w:eastAsia="宋体" w:cs="Times New Roman"/>
          <w:sz w:val="22"/>
        </w:rPr>
        <w:t xml:space="preserve">. 分段Cobb-Douglas生产技术下乘性方向距离函数的最优内生方向选择[J]. </w:t>
      </w:r>
      <w:r>
        <w:rPr>
          <w:rFonts w:ascii="Times New Roman" w:hAnsi="Times New Roman" w:eastAsia="宋体" w:cs="Times New Roman"/>
          <w:b/>
          <w:bCs/>
          <w:sz w:val="22"/>
        </w:rPr>
        <w:t>系统工程理论与实践</w:t>
      </w:r>
      <w:r>
        <w:rPr>
          <w:rFonts w:ascii="Times New Roman" w:hAnsi="Times New Roman" w:eastAsia="宋体" w:cs="Times New Roman"/>
          <w:sz w:val="22"/>
        </w:rPr>
        <w:t>, 2025, 45(11):3781-3794</w:t>
      </w:r>
      <w:r>
        <w:rPr>
          <w:rFonts w:hint="eastAsia" w:ascii="Times New Roman" w:hAnsi="Times New Roman" w:eastAsia="宋体" w:cs="Times New Roman"/>
          <w:sz w:val="22"/>
        </w:rPr>
        <w:t>.</w:t>
      </w:r>
      <w:bookmarkEnd w:id="0"/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hint="eastAsia" w:ascii="Times New Roman" w:hAnsi="Times New Roman" w:eastAsia="宋体" w:cs="Times New Roman"/>
          <w:sz w:val="22"/>
        </w:rPr>
        <w:t>（</w:t>
      </w:r>
      <w:bookmarkStart w:id="2" w:name="_Hlk207983736"/>
      <w:r>
        <w:rPr>
          <w:rFonts w:hint="eastAsia" w:ascii="Times New Roman" w:hAnsi="Times New Roman" w:eastAsia="宋体" w:cs="Times New Roman"/>
          <w:sz w:val="22"/>
        </w:rPr>
        <w:t>F</w:t>
      </w:r>
      <w:r>
        <w:rPr>
          <w:rFonts w:ascii="Times New Roman" w:hAnsi="Times New Roman" w:eastAsia="宋体" w:cs="Times New Roman"/>
          <w:sz w:val="22"/>
        </w:rPr>
        <w:t xml:space="preserve">MS </w:t>
      </w:r>
      <w:r>
        <w:rPr>
          <w:rFonts w:hint="eastAsia" w:ascii="Times New Roman" w:hAnsi="Times New Roman" w:eastAsia="宋体" w:cs="Times New Roman"/>
          <w:sz w:val="22"/>
        </w:rPr>
        <w:t>T</w:t>
      </w:r>
      <w:r>
        <w:rPr>
          <w:rFonts w:ascii="Times New Roman" w:hAnsi="Times New Roman" w:eastAsia="宋体" w:cs="Times New Roman"/>
          <w:sz w:val="22"/>
        </w:rPr>
        <w:t>1</w:t>
      </w:r>
      <w:bookmarkEnd w:id="2"/>
      <w:r>
        <w:rPr>
          <w:rFonts w:ascii="Times New Roman" w:hAnsi="Times New Roman" w:eastAsia="宋体" w:cs="Times New Roman"/>
          <w:sz w:val="22"/>
        </w:rPr>
        <w:t>,</w:t>
      </w:r>
      <w:r>
        <w:rPr>
          <w:rFonts w:hint="eastAsia" w:ascii="Times New Roman" w:hAnsi="Times New Roman" w:eastAsia="宋体" w:cs="Times New Roman"/>
          <w:sz w:val="22"/>
        </w:rPr>
        <w:t>国自然管科A）</w:t>
      </w:r>
    </w:p>
    <w:p w14:paraId="43C075AE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b/>
          <w:bCs/>
          <w:sz w:val="22"/>
          <w:u w:val="single"/>
        </w:rPr>
        <w:t>Tao X</w:t>
      </w:r>
      <w:r>
        <w:rPr>
          <w:rFonts w:ascii="Times New Roman" w:hAnsi="Times New Roman" w:eastAsia="宋体" w:cs="Times New Roman"/>
          <w:sz w:val="22"/>
        </w:rPr>
        <w:t xml:space="preserve">, Hong J*. Super-efficiency in Piecewise Cobb-Douglas Technology with Flexible Endogenous Direction[J]. </w:t>
      </w:r>
      <w:r>
        <w:rPr>
          <w:rFonts w:ascii="Times New Roman" w:hAnsi="Times New Roman" w:eastAsia="宋体" w:cs="Times New Roman"/>
          <w:b/>
          <w:bCs/>
          <w:sz w:val="22"/>
        </w:rPr>
        <w:t>European Journal of Operational Research</w:t>
      </w:r>
      <w:r>
        <w:rPr>
          <w:rFonts w:ascii="Times New Roman" w:hAnsi="Times New Roman" w:eastAsia="宋体" w:cs="Times New Roman"/>
          <w:sz w:val="22"/>
        </w:rPr>
        <w:t>, 2025. O</w:t>
      </w:r>
      <w:r>
        <w:rPr>
          <w:rFonts w:hint="eastAsia" w:ascii="Times New Roman" w:hAnsi="Times New Roman" w:eastAsia="宋体" w:cs="Times New Roman"/>
          <w:sz w:val="22"/>
        </w:rPr>
        <w:t>n</w:t>
      </w:r>
      <w:r>
        <w:rPr>
          <w:rFonts w:ascii="Times New Roman" w:hAnsi="Times New Roman" w:eastAsia="宋体" w:cs="Times New Roman"/>
          <w:sz w:val="22"/>
        </w:rPr>
        <w:t>line (ABS 4, FMS A, JCR Q1)</w:t>
      </w:r>
    </w:p>
    <w:p w14:paraId="496F78C4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b/>
          <w:bCs/>
          <w:sz w:val="22"/>
          <w:u w:val="single"/>
        </w:rPr>
        <w:t>Tao X</w:t>
      </w:r>
      <w:r>
        <w:rPr>
          <w:rFonts w:ascii="Times New Roman" w:hAnsi="Times New Roman" w:eastAsia="宋体" w:cs="Times New Roman"/>
          <w:sz w:val="22"/>
        </w:rPr>
        <w:t xml:space="preserve">, Peng Q*. Moral Hazard in Data Envelopment Analysis Benchmarking[J]. </w:t>
      </w:r>
      <w:bookmarkStart w:id="3" w:name="_Hlk207983749"/>
      <w:r>
        <w:rPr>
          <w:rFonts w:ascii="Times New Roman" w:hAnsi="Times New Roman" w:eastAsia="宋体" w:cs="Times New Roman"/>
          <w:b/>
          <w:bCs/>
          <w:sz w:val="22"/>
        </w:rPr>
        <w:t>European Journal of Operational Research</w:t>
      </w:r>
      <w:bookmarkEnd w:id="3"/>
      <w:r>
        <w:rPr>
          <w:rFonts w:ascii="Times New Roman" w:hAnsi="Times New Roman" w:eastAsia="宋体" w:cs="Times New Roman"/>
          <w:sz w:val="22"/>
        </w:rPr>
        <w:t>, 2025. Online (ABS 4, FMS A, JCR Q1)</w:t>
      </w:r>
    </w:p>
    <w:p w14:paraId="5478C7E6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b/>
          <w:bCs/>
          <w:sz w:val="22"/>
          <w:u w:val="single"/>
        </w:rPr>
        <w:t>Tao X</w:t>
      </w:r>
      <w:r>
        <w:rPr>
          <w:rFonts w:ascii="Times New Roman" w:hAnsi="Times New Roman" w:eastAsia="宋体" w:cs="Times New Roman"/>
          <w:sz w:val="22"/>
        </w:rPr>
        <w:t xml:space="preserve">, An Q*, Goh M. Plant capacity utilization with piecewise Cobb-Douglas technology: Definition and interpretation[J]. </w:t>
      </w:r>
      <w:r>
        <w:rPr>
          <w:rFonts w:ascii="Times New Roman" w:hAnsi="Times New Roman" w:eastAsia="宋体" w:cs="Times New Roman"/>
          <w:b/>
          <w:bCs/>
          <w:sz w:val="22"/>
        </w:rPr>
        <w:t>European Journal of Operational Research</w:t>
      </w:r>
      <w:r>
        <w:rPr>
          <w:rFonts w:ascii="Times New Roman" w:hAnsi="Times New Roman" w:eastAsia="宋体" w:cs="Times New Roman"/>
          <w:sz w:val="22"/>
        </w:rPr>
        <w:t>, 2024, 316(3): 1034-1043. (</w:t>
      </w:r>
      <w:bookmarkStart w:id="4" w:name="_Hlk207983766"/>
      <w:r>
        <w:rPr>
          <w:rFonts w:ascii="Times New Roman" w:hAnsi="Times New Roman" w:eastAsia="宋体" w:cs="Times New Roman"/>
          <w:sz w:val="22"/>
        </w:rPr>
        <w:t>ABS 4, FMS A</w:t>
      </w:r>
      <w:bookmarkEnd w:id="4"/>
      <w:r>
        <w:rPr>
          <w:rFonts w:ascii="Times New Roman" w:hAnsi="Times New Roman" w:eastAsia="宋体" w:cs="Times New Roman"/>
          <w:sz w:val="22"/>
        </w:rPr>
        <w:t>, JCR Q1)</w:t>
      </w:r>
    </w:p>
    <w:bookmarkEnd w:id="1"/>
    <w:p w14:paraId="3899B472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 xml:space="preserve">An Q, </w:t>
      </w:r>
      <w:r>
        <w:rPr>
          <w:rFonts w:ascii="Times New Roman" w:hAnsi="Times New Roman" w:eastAsia="宋体" w:cs="Times New Roman"/>
          <w:b/>
          <w:bCs/>
          <w:sz w:val="22"/>
          <w:u w:val="single"/>
        </w:rPr>
        <w:t>Tao X*</w:t>
      </w:r>
      <w:r>
        <w:rPr>
          <w:rFonts w:ascii="Times New Roman" w:hAnsi="Times New Roman" w:eastAsia="宋体" w:cs="Times New Roman"/>
          <w:sz w:val="22"/>
        </w:rPr>
        <w:t xml:space="preserve">, Chen X*. Nested frontier-based best practice regulation under asymmetric information in a principal–agent framework[J]. </w:t>
      </w:r>
      <w:r>
        <w:rPr>
          <w:rFonts w:ascii="Times New Roman" w:hAnsi="Times New Roman" w:eastAsia="宋体" w:cs="Times New Roman"/>
          <w:b/>
          <w:bCs/>
          <w:sz w:val="22"/>
        </w:rPr>
        <w:t>European Journal of Operational Research</w:t>
      </w:r>
      <w:r>
        <w:rPr>
          <w:rFonts w:ascii="Times New Roman" w:hAnsi="Times New Roman" w:eastAsia="宋体" w:cs="Times New Roman"/>
          <w:sz w:val="22"/>
        </w:rPr>
        <w:t>, 2023, 306(1): 269-285. (ABS 4, FMS A, JCR Q1)</w:t>
      </w:r>
    </w:p>
    <w:p w14:paraId="7BAC56D9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 xml:space="preserve">An Q, </w:t>
      </w:r>
      <w:r>
        <w:rPr>
          <w:rFonts w:ascii="Times New Roman" w:hAnsi="Times New Roman" w:eastAsia="宋体" w:cs="Times New Roman"/>
          <w:b/>
          <w:bCs/>
          <w:sz w:val="22"/>
          <w:u w:val="single"/>
        </w:rPr>
        <w:t>Tao X*</w:t>
      </w:r>
      <w:r>
        <w:rPr>
          <w:rFonts w:ascii="Times New Roman" w:hAnsi="Times New Roman" w:eastAsia="宋体" w:cs="Times New Roman"/>
          <w:sz w:val="22"/>
        </w:rPr>
        <w:t xml:space="preserve">, Xiong B, et al. Frontier-based incentive mechanisms for allocating common revenues or fixed costs[J]. </w:t>
      </w:r>
      <w:r>
        <w:rPr>
          <w:rFonts w:ascii="Times New Roman" w:hAnsi="Times New Roman" w:eastAsia="宋体" w:cs="Times New Roman"/>
          <w:b/>
          <w:bCs/>
          <w:sz w:val="22"/>
        </w:rPr>
        <w:t>European Journal of Operational Research</w:t>
      </w:r>
      <w:r>
        <w:rPr>
          <w:rFonts w:ascii="Times New Roman" w:hAnsi="Times New Roman" w:eastAsia="宋体" w:cs="Times New Roman"/>
          <w:sz w:val="22"/>
        </w:rPr>
        <w:t>, 2022, 302(1): 294-308. (ABS 4, FMS A, JCR Q1)</w:t>
      </w:r>
    </w:p>
    <w:p w14:paraId="61B77F62">
      <w:pPr>
        <w:spacing w:line="312" w:lineRule="auto"/>
        <w:rPr>
          <w:rFonts w:ascii="Times New Roman Regular" w:hAnsi="Times New Roman Regular" w:eastAsia="宋体" w:cs="Times New Roman Regular"/>
        </w:rPr>
      </w:pPr>
    </w:p>
    <w:p w14:paraId="0124E4D2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兼任职务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53A25DE1">
      <w:pPr>
        <w:rPr>
          <w:rFonts w:ascii="Times New Roman" w:hAnsi="Times New Roman" w:eastAsia="宋体" w:cs="Times New Roman"/>
          <w:sz w:val="22"/>
        </w:rPr>
      </w:pPr>
    </w:p>
    <w:p w14:paraId="202C3D4A">
      <w:pPr>
        <w:rPr>
          <w:rFonts w:ascii="Times New Roman Regular" w:hAnsi="Times New Roman Regular" w:eastAsia="宋体" w:cs="Times New Roman Regular"/>
        </w:rPr>
      </w:pPr>
      <w:r>
        <w:rPr>
          <w:rFonts w:ascii="Times New Roman" w:hAnsi="Times New Roman" w:eastAsia="宋体" w:cs="Times New Roman"/>
          <w:sz w:val="22"/>
        </w:rPr>
        <w:t>受邀担任</w:t>
      </w:r>
      <w:r>
        <w:rPr>
          <w:rFonts w:hint="eastAsia" w:ascii="Times New Roman" w:hAnsi="Times New Roman" w:eastAsia="宋体" w:cs="Times New Roman"/>
          <w:sz w:val="22"/>
        </w:rPr>
        <w:t>《系统科学与数学》、</w:t>
      </w:r>
      <w:r>
        <w:rPr>
          <w:rFonts w:ascii="Times New Roman" w:hAnsi="Times New Roman" w:eastAsia="宋体" w:cs="Times New Roman"/>
          <w:sz w:val="22"/>
        </w:rPr>
        <w:t>European Journal of Operational Research、Omega、International Journal of Production Economics</w:t>
      </w:r>
      <w:r>
        <w:rPr>
          <w:rFonts w:hint="eastAsia" w:ascii="Times New Roman" w:hAnsi="Times New Roman" w:eastAsia="宋体" w:cs="Times New Roman"/>
          <w:sz w:val="22"/>
        </w:rPr>
        <w:t>、</w:t>
      </w:r>
      <w:r>
        <w:rPr>
          <w:rFonts w:ascii="Times New Roman" w:hAnsi="Times New Roman" w:eastAsia="宋体" w:cs="Times New Roman"/>
          <w:sz w:val="22"/>
        </w:rPr>
        <w:t>Journal of the Operational Research Society、RAIRO-Operations Research</w:t>
      </w:r>
      <w:r>
        <w:rPr>
          <w:rFonts w:hint="eastAsia" w:ascii="Times New Roman" w:hAnsi="Times New Roman" w:eastAsia="宋体" w:cs="Times New Roman"/>
          <w:sz w:val="22"/>
        </w:rPr>
        <w:t>、</w:t>
      </w:r>
      <w:r>
        <w:rPr>
          <w:rFonts w:ascii="Times New Roman" w:hAnsi="Times New Roman" w:eastAsia="宋体" w:cs="Times New Roman"/>
          <w:sz w:val="22"/>
        </w:rPr>
        <w:t>Financial Innovation</w:t>
      </w:r>
      <w:r>
        <w:rPr>
          <w:rFonts w:hint="eastAsia" w:ascii="Times New Roman" w:hAnsi="Times New Roman" w:eastAsia="宋体" w:cs="Times New Roman"/>
          <w:sz w:val="22"/>
        </w:rPr>
        <w:t>、</w:t>
      </w:r>
      <w:r>
        <w:rPr>
          <w:rFonts w:ascii="Times New Roman" w:hAnsi="Times New Roman" w:eastAsia="宋体" w:cs="Times New Roman"/>
          <w:sz w:val="22"/>
        </w:rPr>
        <w:t>INFOR: Information Systems and Operational Research等SCI/SSCI期刊审稿人</w:t>
      </w:r>
    </w:p>
    <w:p w14:paraId="6543F458">
      <w:pPr>
        <w:spacing w:line="312" w:lineRule="auto"/>
        <w:ind w:firstLine="420"/>
        <w:rPr>
          <w:rFonts w:ascii="Times New Roman Regular" w:hAnsi="Times New Roman Regular" w:eastAsia="宋体" w:cs="Times New Roman Regular"/>
        </w:rPr>
      </w:pPr>
    </w:p>
    <w:p w14:paraId="47AB5241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开设课程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53C575F2">
      <w:pPr>
        <w:rPr>
          <w:rFonts w:hint="eastAsia" w:ascii="Times New Roman" w:hAnsi="Times New Roman" w:eastAsia="宋体" w:cs="Times New Roman"/>
          <w:sz w:val="22"/>
        </w:rPr>
      </w:pPr>
    </w:p>
    <w:p w14:paraId="75B31C0F">
      <w:pPr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" w:hAnsi="Times New Roman" w:eastAsia="宋体" w:cs="Times New Roman"/>
          <w:sz w:val="22"/>
        </w:rPr>
        <w:t>《定量分析：模型与方法》、《统计学》</w:t>
      </w:r>
    </w:p>
    <w:p w14:paraId="36753F79">
      <w:pPr>
        <w:spacing w:line="312" w:lineRule="auto"/>
        <w:rPr>
          <w:rFonts w:ascii="Times New Roman Regular" w:hAnsi="Times New Roman Regular" w:eastAsia="宋体" w:cs="Times New Roman Regular"/>
        </w:rPr>
      </w:pPr>
    </w:p>
    <w:p w14:paraId="29E19041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获奖情况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1CBA1307">
      <w:pPr>
        <w:rPr>
          <w:rFonts w:hint="eastAsia" w:ascii="Times New Roman" w:hAnsi="Times New Roman" w:eastAsia="宋体" w:cs="Times New Roman"/>
          <w:sz w:val="22"/>
        </w:rPr>
      </w:pPr>
    </w:p>
    <w:p w14:paraId="5D208C31">
      <w:pPr>
        <w:rPr>
          <w:rFonts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</w:rPr>
        <w:t>1</w:t>
      </w:r>
      <w:r>
        <w:rPr>
          <w:rFonts w:ascii="Times New Roman" w:hAnsi="Times New Roman" w:eastAsia="宋体" w:cs="Times New Roman"/>
          <w:sz w:val="22"/>
        </w:rPr>
        <w:t>. 2025</w:t>
      </w:r>
      <w:r>
        <w:rPr>
          <w:rFonts w:hint="eastAsia" w:ascii="Times New Roman" w:hAnsi="Times New Roman" w:eastAsia="宋体" w:cs="Times New Roman"/>
          <w:sz w:val="22"/>
        </w:rPr>
        <w:t>年度 湖南省优秀博士论文</w:t>
      </w:r>
    </w:p>
    <w:p w14:paraId="44AF0DF1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2. 2025</w:t>
      </w:r>
      <w:r>
        <w:rPr>
          <w:rFonts w:hint="eastAsia" w:ascii="Times New Roman" w:hAnsi="Times New Roman" w:eastAsia="宋体" w:cs="Times New Roman"/>
          <w:sz w:val="22"/>
        </w:rPr>
        <w:t>年度 中南大学优秀博士论文</w:t>
      </w:r>
    </w:p>
    <w:p w14:paraId="0AB69DBC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3. 2023</w:t>
      </w:r>
      <w:r>
        <w:rPr>
          <w:rFonts w:hint="eastAsia" w:ascii="Times New Roman" w:hAnsi="Times New Roman" w:eastAsia="宋体" w:cs="Times New Roman"/>
          <w:sz w:val="22"/>
        </w:rPr>
        <w:t xml:space="preserve">年度 </w:t>
      </w:r>
      <w:r>
        <w:rPr>
          <w:rFonts w:ascii="Times New Roman" w:hAnsi="Times New Roman" w:eastAsia="宋体" w:cs="Times New Roman"/>
          <w:sz w:val="22"/>
        </w:rPr>
        <w:t>O</w:t>
      </w:r>
      <w:r>
        <w:rPr>
          <w:rFonts w:hint="eastAsia" w:ascii="Times New Roman" w:hAnsi="Times New Roman" w:eastAsia="宋体" w:cs="Times New Roman"/>
          <w:sz w:val="22"/>
        </w:rPr>
        <w:t>mega</w:t>
      </w:r>
      <w:r>
        <w:rPr>
          <w:rFonts w:ascii="Times New Roman" w:hAnsi="Times New Roman" w:eastAsia="宋体" w:cs="Times New Roman"/>
          <w:sz w:val="22"/>
        </w:rPr>
        <w:t xml:space="preserve"> Best Paper Award</w:t>
      </w:r>
    </w:p>
    <w:p w14:paraId="1ACDFE34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 xml:space="preserve">4. 2022年度Journal of the Operational Research Society Outstanding Reviewer </w:t>
      </w:r>
    </w:p>
    <w:p w14:paraId="1D8D16BD">
      <w:pPr>
        <w:spacing w:line="312" w:lineRule="auto"/>
        <w:ind w:firstLine="420"/>
        <w:rPr>
          <w:rFonts w:ascii="Times New Roman Regular" w:hAnsi="Times New Roman Regular" w:eastAsia="宋体" w:cs="Times New Roman Regular"/>
        </w:rPr>
      </w:pPr>
    </w:p>
    <w:p w14:paraId="2FE37A4D">
      <w:pPr>
        <w:spacing w:line="312" w:lineRule="auto"/>
        <w:ind w:firstLine="420"/>
        <w:rPr>
          <w:rFonts w:ascii="Times New Roman Regular" w:hAnsi="Times New Roman Regular" w:eastAsia="宋体" w:cs="Times New Roman Regular"/>
        </w:rPr>
      </w:pPr>
    </w:p>
    <w:p w14:paraId="721832AC">
      <w:pPr>
        <w:spacing w:line="312" w:lineRule="auto"/>
        <w:ind w:firstLine="420"/>
        <w:rPr>
          <w:rFonts w:ascii="Times New Roman Regular" w:hAnsi="Times New Roman Regular" w:eastAsia="宋体" w:cs="Times New Roman Regular"/>
        </w:rPr>
      </w:pPr>
    </w:p>
    <w:p w14:paraId="657B5F12">
      <w:pPr>
        <w:spacing w:line="312" w:lineRule="auto"/>
        <w:ind w:firstLine="420"/>
        <w:rPr>
          <w:rFonts w:ascii="Times New Roman Regular" w:hAnsi="Times New Roman Regular" w:eastAsia="宋体" w:cs="Times New Roma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venir Next">
    <w:panose1 w:val="020B0803020202020204"/>
    <w:charset w:val="00"/>
    <w:family w:val="auto"/>
    <w:pitch w:val="default"/>
    <w:sig w:usb0="8000002F" w:usb1="5000204A" w:usb2="00000000" w:usb3="00000000" w:csb0="0000009B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007F9"/>
    <w:multiLevelType w:val="multilevel"/>
    <w:tmpl w:val="6B6007F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A306E"/>
    <w:rsid w:val="00975F42"/>
    <w:rsid w:val="00FE3CA1"/>
    <w:rsid w:val="553C1E9D"/>
    <w:rsid w:val="6FDDF969"/>
    <w:rsid w:val="FFDF9518"/>
    <w:rsid w:val="FFFA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479</Words>
  <Characters>1879</Characters>
  <Lines>42</Lines>
  <Paragraphs>25</Paragraphs>
  <TotalTime>2</TotalTime>
  <ScaleCrop>false</ScaleCrop>
  <LinksUpToDate>false</LinksUpToDate>
  <CharactersWithSpaces>2333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2026-04-10T22:19:00Z</dcterms:created>
  <dc:creator>薛定谔的喵</dc:creator>
  <cp:lastModifiedBy>薛定谔的喵</cp:lastModifiedBy>
  <dcterms:modified xsi:type="dcterms:W3CDTF">2026-04-12T10:10:10Z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9E603E0547E54053E5FDDA69D9DE91EF_43</vt:lpwstr>
  </property>
</Properties>
</file>