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7180" w14:textId="2EAF22C7" w:rsidR="006B3F1F" w:rsidRPr="008E486A" w:rsidRDefault="004C5DC2" w:rsidP="008E486A">
      <w:pPr>
        <w:pStyle w:val="a4"/>
      </w:pPr>
      <w:r>
        <w:rPr>
          <w:rFonts w:ascii="宋体" w:eastAsia="宋体" w:hAnsi="宋体" w:hint="eastAsia"/>
          <w:lang w:eastAsia="zh-CN"/>
        </w:rPr>
        <w:t>‘’</w:t>
      </w:r>
      <w:r w:rsidR="006B3F1F">
        <w:t>AIPad: In-Place AI Collaboration and Workspace-Carried Context for Learning Notes</w:t>
      </w:r>
    </w:p>
    <w:tbl>
      <w:tblPr>
        <w:tblW w:w="10130" w:type="dxa"/>
        <w:jc w:val="center"/>
        <w:tblCellMar>
          <w:left w:w="0" w:type="dxa"/>
          <w:right w:w="0" w:type="dxa"/>
        </w:tblCellMar>
        <w:tblLook w:val="0000" w:firstRow="0" w:lastRow="0" w:firstColumn="0" w:lastColumn="0" w:noHBand="0" w:noVBand="0"/>
      </w:tblPr>
      <w:tblGrid>
        <w:gridCol w:w="3337"/>
        <w:gridCol w:w="3339"/>
        <w:gridCol w:w="3454"/>
      </w:tblGrid>
      <w:tr w:rsidR="007031CC" w14:paraId="79DCF873" w14:textId="77777777" w:rsidTr="00FC1964">
        <w:trPr>
          <w:trHeight w:val="1126"/>
          <w:tblHeader/>
          <w:jc w:val="center"/>
        </w:trPr>
        <w:tc>
          <w:tcPr>
            <w:tcW w:w="1647" w:type="pct"/>
            <w:tcBorders>
              <w:top w:val="nil"/>
              <w:left w:val="nil"/>
              <w:bottom w:val="nil"/>
              <w:right w:val="nil"/>
            </w:tcBorders>
          </w:tcPr>
          <w:p w14:paraId="5E100AC6" w14:textId="77777777" w:rsidR="002A392E" w:rsidRDefault="00000000">
            <w:pPr>
              <w:pStyle w:val="AuthorName"/>
            </w:pPr>
            <w:r>
              <w:t>Leave Authors Anonymous</w:t>
            </w:r>
          </w:p>
          <w:p w14:paraId="287A2E84" w14:textId="77777777" w:rsidR="002A392E" w:rsidRDefault="00000000">
            <w:pPr>
              <w:pStyle w:val="AuthorAffiliation"/>
            </w:pPr>
            <w:r>
              <w:t>for Submission</w:t>
            </w:r>
          </w:p>
          <w:p w14:paraId="72573699" w14:textId="77777777" w:rsidR="002A392E" w:rsidRDefault="00000000">
            <w:pPr>
              <w:pStyle w:val="AuthorAffiliation"/>
            </w:pPr>
            <w:r>
              <w:t>Affiliation withheld</w:t>
            </w:r>
          </w:p>
          <w:p w14:paraId="16D671B6" w14:textId="77777777" w:rsidR="002A392E" w:rsidRDefault="00000000">
            <w:pPr>
              <w:pStyle w:val="AuthorAffiliation"/>
            </w:pPr>
            <w:r>
              <w:t>e-mail withheld</w:t>
            </w:r>
          </w:p>
        </w:tc>
        <w:tc>
          <w:tcPr>
            <w:tcW w:w="1648" w:type="pct"/>
            <w:tcBorders>
              <w:top w:val="nil"/>
              <w:left w:val="nil"/>
              <w:bottom w:val="nil"/>
              <w:right w:val="nil"/>
            </w:tcBorders>
          </w:tcPr>
          <w:p w14:paraId="3BD51CC6" w14:textId="77777777" w:rsidR="002A392E" w:rsidRDefault="00000000">
            <w:pPr>
              <w:pStyle w:val="AuthorName"/>
            </w:pPr>
            <w:r>
              <w:t>Leave Authors Anonymous</w:t>
            </w:r>
          </w:p>
          <w:p w14:paraId="79BDA09B" w14:textId="77777777" w:rsidR="002A392E" w:rsidRDefault="00000000">
            <w:pPr>
              <w:pStyle w:val="AuthorAffiliation"/>
            </w:pPr>
            <w:r>
              <w:t>for Submission</w:t>
            </w:r>
          </w:p>
          <w:p w14:paraId="7AC761DA" w14:textId="77777777" w:rsidR="002A392E" w:rsidRDefault="00000000">
            <w:pPr>
              <w:pStyle w:val="AuthorAffiliation"/>
            </w:pPr>
            <w:r>
              <w:t>Affiliation withheld</w:t>
            </w:r>
          </w:p>
          <w:p w14:paraId="4E01D8AA" w14:textId="77777777" w:rsidR="002A392E" w:rsidRDefault="00000000">
            <w:pPr>
              <w:pStyle w:val="AuthorAffiliation"/>
            </w:pPr>
            <w:r>
              <w:t>e-mail withheld</w:t>
            </w:r>
          </w:p>
        </w:tc>
        <w:tc>
          <w:tcPr>
            <w:tcW w:w="1705" w:type="pct"/>
            <w:tcBorders>
              <w:top w:val="nil"/>
              <w:left w:val="nil"/>
              <w:bottom w:val="nil"/>
              <w:right w:val="nil"/>
            </w:tcBorders>
          </w:tcPr>
          <w:p w14:paraId="37E1BDF6" w14:textId="77777777" w:rsidR="002A392E" w:rsidRDefault="00000000">
            <w:pPr>
              <w:pStyle w:val="AuthorName"/>
            </w:pPr>
            <w:r>
              <w:t>Leave Authors Anonymous</w:t>
            </w:r>
          </w:p>
          <w:p w14:paraId="6A4155CA" w14:textId="77777777" w:rsidR="002A392E" w:rsidRDefault="00000000">
            <w:pPr>
              <w:pStyle w:val="AuthorAffiliation"/>
            </w:pPr>
            <w:r>
              <w:t>for Submission</w:t>
            </w:r>
          </w:p>
          <w:p w14:paraId="678514E6" w14:textId="77777777" w:rsidR="002A392E" w:rsidRDefault="00000000">
            <w:pPr>
              <w:pStyle w:val="AuthorAffiliation"/>
            </w:pPr>
            <w:r>
              <w:t>Affiliation withheld</w:t>
            </w:r>
          </w:p>
          <w:p w14:paraId="777FB8AF" w14:textId="77777777" w:rsidR="002A392E" w:rsidRDefault="00000000">
            <w:pPr>
              <w:pStyle w:val="AuthorAffiliation"/>
            </w:pPr>
            <w:r>
              <w:t>e-mail withheld</w:t>
            </w:r>
          </w:p>
        </w:tc>
      </w:tr>
    </w:tbl>
    <w:p w14:paraId="2D343CC1" w14:textId="54BD1E23" w:rsidR="00FC1964" w:rsidRDefault="00D35A27" w:rsidP="00FC1964">
      <w:pPr>
        <w:rPr>
          <w:rFonts w:eastAsia="宋体" w:hint="eastAsia"/>
          <w:lang w:eastAsia="zh-CN"/>
        </w:rPr>
      </w:pPr>
      <w:r w:rsidRPr="00D35A27">
        <w:rPr>
          <w:bCs/>
          <w:noProof/>
        </w:rPr>
        <w:drawing>
          <wp:inline distT="0" distB="0" distL="0" distR="0" wp14:anchorId="763A1122" wp14:editId="242A632C">
            <wp:extent cx="6400800" cy="2336165"/>
            <wp:effectExtent l="0" t="0" r="0" b="6985"/>
            <wp:docPr id="12597361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336165"/>
                    </a:xfrm>
                    <a:prstGeom prst="rect">
                      <a:avLst/>
                    </a:prstGeom>
                    <a:noFill/>
                    <a:ln>
                      <a:noFill/>
                    </a:ln>
                  </pic:spPr>
                </pic:pic>
              </a:graphicData>
            </a:graphic>
          </wp:inline>
        </w:drawing>
      </w:r>
    </w:p>
    <w:p w14:paraId="058D428A" w14:textId="5E746A03" w:rsidR="00FC1964" w:rsidRPr="00260CDF" w:rsidRDefault="00FC1964" w:rsidP="00D35A27">
      <w:pPr>
        <w:pStyle w:val="a5"/>
        <w:jc w:val="center"/>
        <w:rPr>
          <w:bCs/>
        </w:rPr>
      </w:pPr>
      <w:r w:rsidRPr="00260CDF">
        <w:rPr>
          <w:bCs/>
        </w:rPr>
        <w:t>Figure 1. Teaser figure placeholder for the AIPad interface.</w:t>
      </w:r>
    </w:p>
    <w:p w14:paraId="173E5F82" w14:textId="77777777" w:rsidR="006B3F1F" w:rsidRDefault="006B3F1F" w:rsidP="00F100EF">
      <w:pPr>
        <w:sectPr w:rsidR="006B3F1F" w:rsidSect="006B1D5B">
          <w:pgSz w:w="12240" w:h="15840" w:code="1"/>
          <w:pgMar w:top="1224" w:right="1080" w:bottom="1440" w:left="1080" w:header="720" w:footer="720" w:gutter="0"/>
          <w:cols w:space="720"/>
          <w:docGrid w:linePitch="360"/>
        </w:sectPr>
      </w:pPr>
    </w:p>
    <w:p w14:paraId="4EE2BA9E" w14:textId="77777777" w:rsidR="006B3F1F" w:rsidRDefault="0088145B">
      <w:pPr>
        <w:pStyle w:val="1"/>
        <w:spacing w:before="0"/>
        <w:jc w:val="left"/>
      </w:pPr>
      <w:r>
        <w:rPr>
          <w:noProof/>
        </w:rPr>
        <mc:AlternateContent>
          <mc:Choice Requires="wps">
            <w:drawing>
              <wp:anchor distT="0" distB="0" distL="114300" distR="114300" simplePos="0" relativeHeight="251657216" behindDoc="0" locked="1" layoutInCell="1" allowOverlap="0" wp14:anchorId="5E6106D7" wp14:editId="39629652">
                <wp:simplePos x="0" y="0"/>
                <wp:positionH relativeFrom="margin">
                  <wp:posOffset>2540</wp:posOffset>
                </wp:positionH>
                <wp:positionV relativeFrom="margin">
                  <wp:posOffset>7915275</wp:posOffset>
                </wp:positionV>
                <wp:extent cx="3044825" cy="447040"/>
                <wp:effectExtent l="0" t="0" r="3175"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825" cy="447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F1086B" w14:textId="77777777" w:rsidR="002A392E" w:rsidRDefault="00000000">
                            <w:pPr>
                              <w:spacing w:after="0"/>
                            </w:pPr>
                            <w:r>
                              <w:rPr>
                                <w:sz w:val="14"/>
                                <w:szCs w:val="14"/>
                              </w:rPr>
                              <w:t>Anonymous submission to UIST 2026. Copyright and DOI information will be added after acceptance.</w:t>
                            </w:r>
                          </w:p>
                          <w:p w14:paraId="17DCEF81" w14:textId="77777777" w:rsidR="002A392E" w:rsidRDefault="00000000">
                            <w:pPr>
                              <w:spacing w:after="0"/>
                            </w:pPr>
                            <w:r>
                              <w:rPr>
                                <w:i/>
                                <w:sz w:val="14"/>
                                <w:szCs w:val="14"/>
                              </w:rPr>
                              <w:t>Camera-ready copyright block pending ACM RightsReview confirmation.</w:t>
                            </w:r>
                          </w:p>
                          <w:p w14:paraId="11DCDA71" w14:textId="77439427" w:rsidR="002A392E" w:rsidRDefault="002A392E">
                            <w:pPr>
                              <w:spacing w:after="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6106D7" id="_x0000_t202" coordsize="21600,21600" o:spt="202" path="m,l,21600r21600,l21600,xe">
                <v:stroke joinstyle="miter"/>
                <v:path gradientshapeok="t" o:connecttype="rect"/>
              </v:shapetype>
              <v:shape id="Text Box 2" o:spid="_x0000_s1026" type="#_x0000_t202" style="position:absolute;margin-left:.2pt;margin-top:623.25pt;width:239.75pt;height:35.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" o:allowoverlap="f" stroked="f">
                <v:textbox inset="0,0,0,0">
                  <w:txbxContent>
                    <w:p w14:paraId="76F1086B" w14:textId="77777777" w:rsidR="002A392E" w:rsidRDefault="00000000">
                      <w:pPr>
                        <w:spacing w:after="0"/>
                      </w:pPr>
                      <w:r>
                        <w:rPr>
                          <w:sz w:val="14"/>
                          <w:szCs w:val="14"/>
                        </w:rPr>
                        <w:t>Anonymous submission to UIST 2026. Copyright and DOI information will be added after acceptance.</w:t>
                      </w:r>
                    </w:p>
                    <w:p w14:paraId="17DCEF81" w14:textId="77777777" w:rsidR="002A392E" w:rsidRDefault="00000000">
                      <w:pPr>
                        <w:spacing w:after="0"/>
                      </w:pPr>
                      <w:r>
                        <w:rPr>
                          <w:i/>
                          <w:sz w:val="14"/>
                          <w:szCs w:val="14"/>
                        </w:rPr>
                        <w:t>Camera-ready copyright block pending ACM RightsReview confirmation.</w:t>
                      </w:r>
                    </w:p>
                    <w:p w14:paraId="11DCDA71" w14:textId="77439427" w:rsidR="002A392E" w:rsidRDefault="002A392E">
                      <w:pPr>
                        <w:spacing w:after="0"/>
                      </w:pPr>
                    </w:p>
                  </w:txbxContent>
                </v:textbox>
                <w10:wrap type="square" anchorx="margin" anchory="margin"/>
                <w10:anchorlock/>
              </v:shape>
            </w:pict>
          </mc:Fallback>
        </mc:AlternateContent>
      </w:r>
      <w:r w:rsidR="006B3F1F">
        <w:t>ABSTRACT</w:t>
      </w:r>
    </w:p>
    <w:p w14:paraId="6B1E28AC" w14:textId="77777777" w:rsidR="002A392E" w:rsidRDefault="00000000">
      <w:r>
        <w:t xml:space="preserve">Large language models are quickly entering learning-support scenarios, yet most tools still place AI in a separate chat window. For note work, this split workflow causes two practical problems: every AI use interrupts the developing flow of writing, and repeated collaboration requires users to restate evolving background that already exists on the page. We present AIPad, a mixed ink-and-text workspace for learning notes built around two requirements: keeping AI in place to preserve flow, and keeping context in place so collaboration can continue without repeated background handoff. AIPad operationalizes these requirements through previewable canvas operations, AutoMaintain-based workspace memory, and an Orchestrator that compiles locally relevant context for each request. We evaluate AIPad through two real-task studies, including </w:t>
      </w:r>
      <w:r w:rsidR="00542F24" w:rsidRPr="00542F24">
        <w:t>a 72-hour open-ended deployment with 50 participants using the system in everyday university study settings</w:t>
      </w:r>
      <w:r>
        <w:t xml:space="preserve"> and a controlled three-condition study with 24 participants and 72 task sessions. In the controlled study, AIPad-Full reduced perceived interruption, encouraged more frequent in-place AI use, and required a much smaller prompt budget than an in-canvas NoGraph baseline, while also outperforming the baselines on organization, depth, continuity, and later-review usefulness; the external-chat workflow remained strongest only on breadth. Taken together, these results provide workflow-level evidence that note-centered AI collaboration benefits </w:t>
      </w:r>
      <w:r>
        <w:t>when both interaction and context remain in the workspace: AI can participate without breaking flow, and context can be carried forward without repeatedly reconstructing background for the model.</w:t>
      </w:r>
    </w:p>
    <w:p w14:paraId="7F0B3030" w14:textId="77777777" w:rsidR="002A392E" w:rsidRPr="00E600C0" w:rsidRDefault="00000000">
      <w:pPr>
        <w:pStyle w:val="2"/>
        <w:jc w:val="left"/>
        <w:rPr>
          <w:bCs/>
        </w:rPr>
      </w:pPr>
      <w:r w:rsidRPr="00E600C0">
        <w:rPr>
          <w:bCs/>
        </w:rPr>
        <w:t>Author Keywords</w:t>
      </w:r>
    </w:p>
    <w:p w14:paraId="6B449C3E" w14:textId="77777777" w:rsidR="002A392E" w:rsidRDefault="00000000">
      <w:r>
        <w:t>learning workspace; digital ink; LLM interaction; semantic block graph; context compilation; system evaluation</w:t>
      </w:r>
    </w:p>
    <w:p w14:paraId="422AEBA3" w14:textId="177B3807" w:rsidR="00E357DC" w:rsidRPr="00345AFA" w:rsidRDefault="00E357DC" w:rsidP="00E357DC">
      <w:pPr>
        <w:pStyle w:val="2"/>
        <w:jc w:val="left"/>
        <w:rPr>
          <w:rFonts w:eastAsia="宋体"/>
          <w:bCs/>
          <w:lang w:eastAsia="zh-CN"/>
        </w:rPr>
      </w:pPr>
      <w:r w:rsidRPr="00345AFA">
        <w:rPr>
          <w:rFonts w:eastAsia="宋体" w:hint="eastAsia"/>
          <w:bCs/>
          <w:lang w:eastAsia="zh-CN"/>
        </w:rPr>
        <w:t>C</w:t>
      </w:r>
      <w:r w:rsidR="00CF66C9">
        <w:rPr>
          <w:rFonts w:eastAsia="宋体" w:hint="eastAsia"/>
          <w:bCs/>
          <w:lang w:eastAsia="zh-CN"/>
        </w:rPr>
        <w:t>C</w:t>
      </w:r>
      <w:r w:rsidRPr="00345AFA">
        <w:rPr>
          <w:rFonts w:eastAsia="宋体" w:hint="eastAsia"/>
          <w:bCs/>
          <w:lang w:eastAsia="zh-CN"/>
        </w:rPr>
        <w:t>S Concepts</w:t>
      </w:r>
    </w:p>
    <w:p w14:paraId="039EA276" w14:textId="77777777" w:rsidR="002A392E" w:rsidRDefault="00000000">
      <w:r>
        <w:t>• Human-centered computing~Interactive systems and tools; • Human-centered computing~User studies; • Applied computing~Education;</w:t>
      </w:r>
    </w:p>
    <w:p w14:paraId="77CB3EF6" w14:textId="77777777" w:rsidR="002A392E" w:rsidRPr="00345AFA" w:rsidRDefault="00000000">
      <w:pPr>
        <w:pStyle w:val="1"/>
        <w:jc w:val="left"/>
        <w:rPr>
          <w:bCs/>
        </w:rPr>
      </w:pPr>
      <w:r w:rsidRPr="00345AFA">
        <w:rPr>
          <w:bCs/>
        </w:rPr>
        <w:t>INTRODUCTION</w:t>
      </w:r>
    </w:p>
    <w:p w14:paraId="4B3B691D" w14:textId="77777777" w:rsidR="002A392E" w:rsidRDefault="00000000">
      <w:r>
        <w:t>Learning is not a linear question-answer process. It is an activity of externalizing, erasing, rearranging, and revisiting ideas on a working surface. Students jot down keywords while reading, sketch diagrams while deriving formulas, and return to earlier regions when they get stuck. New understanding often emerges not in a chat box but through local calculation, local annotation, and spatial reorganization. When digital tools do not fit this spatial and incremental rhythm, the learning process is easily fragmented.</w:t>
      </w:r>
    </w:p>
    <w:p w14:paraId="413C6037" w14:textId="77777777" w:rsidR="002A392E" w:rsidRDefault="00000000">
      <w:r>
        <w:t xml:space="preserve">Yet the most common way of using LLMs for learning still follows a split workflow: write notes on one side, open a chat window on the other, switch to ask a question, then copy, rewrite, or summarize the answer back into the notes. Prior work has shown that task switching introduces attention residue and interruption-recovery costs, while handwriting and freeform note taking support generative processing and </w:t>
      </w:r>
      <w:r>
        <w:lastRenderedPageBreak/>
        <w:t>deeper understanding [1,2,3]. This suggests that as long as AI remains a parallel conversation channel, it cannot fully enter the learner's active workspace.</w:t>
      </w:r>
    </w:p>
    <w:p w14:paraId="44440049" w14:textId="77777777" w:rsidR="002A392E" w:rsidRDefault="00000000">
      <w:r>
        <w:t>However, placing an LLM directly inside a canvas is not simply a matter of moving a chat button onto a whiteboard. Learning notes contain freehand strokes, local diagrams, text boxes, spatial relationships, and ongoing revisions, requiring a unified multimodal operational representation. Model output is uncertain; if it is written directly into user notes, it can damage the user's sense of control. Long learning sessions also require more than raw history. The system needs an intermediate structure that identifies which fragments belong to the same concept, problem, or reasoning chain, and which local region generation should continue from next.</w:t>
      </w:r>
    </w:p>
    <w:p w14:paraId="7FCBD658" w14:textId="77777777" w:rsidR="002A392E" w:rsidRDefault="00000000">
      <w:r>
        <w:t>We present AIPad, a system for note-centered AI collaboration built around two design requirements. First, AI should remain in place so that invoking assistance does not force users to leave the page and break the flow of writing. Second, context should remain in place so that long or repeated collaboration does not depend on repeatedly restating evolving background to the model. AIPad answers these requirements by treating the canvas as a maintained workspace memory: user ink and text remain on the page as the primary site of work, while semantic structure is incrementally maintained and selectively reused to support local continuation.</w:t>
      </w:r>
    </w:p>
    <w:p w14:paraId="49EAE867" w14:textId="77777777" w:rsidR="002A392E" w:rsidRDefault="00000000">
      <w:r>
        <w:t>This paper makes three main contributions. First, we frame note-centered AI collaboration as a problem of preserving flow and carrying context forward inside the workspace, rather than merely improving external responses. Second, we instantiate this framing in AIPad through three coupled sub-innovations: preview-first in-place interaction, AutoMaintain-based workspace memory, and an Orchestrator that compiles locally actionable context. Third, through real-task studies, we provide workflow-level evidence that keeping both AI interaction and context in place can reduce interruption, lower context re-specification burden, and improve downstream note quality.</w:t>
      </w:r>
    </w:p>
    <w:p w14:paraId="53E289C3" w14:textId="77777777" w:rsidR="002A392E" w:rsidRPr="00345AFA" w:rsidRDefault="00000000">
      <w:pPr>
        <w:pStyle w:val="1"/>
        <w:jc w:val="left"/>
        <w:rPr>
          <w:bCs/>
        </w:rPr>
      </w:pPr>
      <w:r w:rsidRPr="00345AFA">
        <w:rPr>
          <w:bCs/>
        </w:rPr>
        <w:t>RELATED WORK</w:t>
      </w:r>
    </w:p>
    <w:p w14:paraId="34CBEF95" w14:textId="77777777" w:rsidR="002A392E" w:rsidRDefault="00000000">
      <w:pPr>
        <w:pStyle w:val="2"/>
        <w:jc w:val="left"/>
      </w:pPr>
      <w:r w:rsidRPr="00E600C0">
        <w:rPr>
          <w:bCs/>
        </w:rPr>
        <w:t>Digital Ink, Active Reading, and In-Situ Notes</w:t>
      </w:r>
    </w:p>
    <w:p w14:paraId="0EB2F6A2" w14:textId="77777777" w:rsidR="002A392E" w:rsidRDefault="00000000">
      <w:r>
        <w:t>Research on digital ink has long emphasized that freeform writing is not merely an input channel but also a medium for organizing thought, preserving context, and constructing meaning. InkSeine supports in-situ search during active note taking [7]. SpaceInk creates space for annotations while keeping them close to their local context [8]. As We May Ink? and WritLarge show the importance of low-friction writing and spatial organization in realistic note-taking settings [9,10]. AIPad extends this line of work by placing generative AI on the same surface, so that writing, revising, asking, and filling in no longer belong to separate interfaces.</w:t>
      </w:r>
    </w:p>
    <w:p w14:paraId="02AC4D9E" w14:textId="77777777" w:rsidR="002A392E" w:rsidRPr="00E600C0" w:rsidRDefault="00000000">
      <w:pPr>
        <w:pStyle w:val="2"/>
        <w:jc w:val="left"/>
        <w:rPr>
          <w:bCs/>
        </w:rPr>
      </w:pPr>
      <w:r w:rsidRPr="00E600C0">
        <w:rPr>
          <w:bCs/>
        </w:rPr>
        <w:t>Spatial Knowledge Workspaces and Visual Organization</w:t>
      </w:r>
    </w:p>
    <w:p w14:paraId="272A52AF" w14:textId="77777777" w:rsidR="002A392E" w:rsidRDefault="00000000">
      <w:r>
        <w:t>Spatial workspaces support nonlinear organization, concept clustering, and repeated review. Designers' Outpost demonstrated the value of externalizing and rearranging fragmented ideas [11], while Garden of Papers integrated search, reading, and organization on a unified surface [6]. These systems show that layout itself is part of the cognitive tool. AIPad shares the goal of reducing switching and improving continuity, but goes further by continuously reading spatial traces and maintaining them as reusable context structure.</w:t>
      </w:r>
    </w:p>
    <w:p w14:paraId="1DB2C478" w14:textId="77777777" w:rsidR="002A392E" w:rsidRPr="00E600C0" w:rsidRDefault="00000000">
      <w:pPr>
        <w:pStyle w:val="2"/>
        <w:jc w:val="left"/>
        <w:rPr>
          <w:bCs/>
        </w:rPr>
      </w:pPr>
      <w:r w:rsidRPr="00E600C0">
        <w:rPr>
          <w:bCs/>
        </w:rPr>
        <w:t>Beyond Chat-Centric LLM Interaction</w:t>
      </w:r>
    </w:p>
    <w:p w14:paraId="6E27DF3F" w14:textId="77777777" w:rsidR="002A392E" w:rsidRDefault="00000000">
      <w:r>
        <w:t>As generative AI enters complex task settings, an increasing number of systems challenge the limits of pure chat interaction. Graphologue maps model responses to interactive diagrams [4]. DirectGPT explores direct manipulation for prompting and editing model output [5]. PromptChainer, ChainForge, and AI-Instruments expose prompt flows, model comparison, and tool-like control over LLM behavior [12,13,14]. In multimodal creative spaces, ImaginationVellum advances the idea that the canvas itself can serve as prompt context [15]. Our work draws from this broader framing, but focuses specifically on long-form learning notes, where local continuity, revisability, and structured reuse are central.</w:t>
      </w:r>
    </w:p>
    <w:p w14:paraId="0AAC61CF" w14:textId="77777777" w:rsidR="002A392E" w:rsidRPr="00E600C0" w:rsidRDefault="00000000">
      <w:pPr>
        <w:pStyle w:val="2"/>
        <w:jc w:val="left"/>
        <w:rPr>
          <w:bCs/>
        </w:rPr>
      </w:pPr>
      <w:r w:rsidRPr="00E600C0">
        <w:rPr>
          <w:bCs/>
        </w:rPr>
        <w:t>Context Management, Cognitive Offloading, and Workspace Memory</w:t>
      </w:r>
    </w:p>
    <w:p w14:paraId="123107A9" w14:textId="77777777" w:rsidR="002A392E" w:rsidRDefault="00000000">
      <w:r>
        <w:t>Cognitive offloading research shows that people actively externalize structure into the environment to reduce working-memory load and improve problem solving [16,17]. In LLM systems, limited context windows have motivated retrieval-augmented generation and explicit memory mechanisms that substitute a smaller evidence set for full history [18,19]. AIPad differs in that memory is not treated as a separate hidden database. Instead, it maintains the actual traces left on the canvas as semantic blocks and compiles them into a block outline at the time of interaction. The key question is not how much history is stored, but which structured local regions the system selects to continue the work.</w:t>
      </w:r>
    </w:p>
    <w:p w14:paraId="7DFFA07A" w14:textId="77777777" w:rsidR="002A392E" w:rsidRPr="00345AFA" w:rsidRDefault="00000000">
      <w:pPr>
        <w:pStyle w:val="1"/>
        <w:jc w:val="left"/>
        <w:rPr>
          <w:bCs/>
        </w:rPr>
      </w:pPr>
      <w:r w:rsidRPr="00345AFA">
        <w:rPr>
          <w:bCs/>
        </w:rPr>
        <w:t>WALKTHROUGH SCENARIOS</w:t>
      </w:r>
    </w:p>
    <w:p w14:paraId="52BC7077" w14:textId="77777777" w:rsidR="002A392E" w:rsidRDefault="00000000">
      <w:r>
        <w:t>AIPad is designed for rich and practical learning scenarios. We introduce the system through two representative walkthroughs.</w:t>
      </w:r>
    </w:p>
    <w:p w14:paraId="223360B8" w14:textId="77777777" w:rsidR="002A392E" w:rsidRPr="00E600C0" w:rsidRDefault="00000000">
      <w:pPr>
        <w:pStyle w:val="2"/>
        <w:jc w:val="left"/>
        <w:rPr>
          <w:bCs/>
        </w:rPr>
      </w:pPr>
      <w:r w:rsidRPr="00E600C0">
        <w:rPr>
          <w:bCs/>
        </w:rPr>
        <w:t>Local Summary and Diagram Completion During Lecture Reading</w:t>
      </w:r>
    </w:p>
    <w:p w14:paraId="2812445E" w14:textId="77777777" w:rsidR="002A392E" w:rsidRDefault="00000000">
      <w:r>
        <w:t xml:space="preserve">A student reading lecture notes on convolutional neural networks writes keywords such as shared parameters and local receptive fields in the upper-left region of the canvas, then sketches a rough diagram of feature map propagation on the right. She realizes that her explanation of why parameter sharing reduces complexity is unclear, triggers Ask AI near that region, and types a short hint: 'add a brief explanation box around these two notes.' Instead of returning an external </w:t>
      </w:r>
      <w:r>
        <w:lastRenderedPageBreak/>
        <w:t>reply, AIPad inserts a gray draft text box in place and proposes a connecting arrow to the existing sketch.</w:t>
      </w:r>
    </w:p>
    <w:p w14:paraId="5FD5959A" w14:textId="77777777" w:rsidR="002A392E" w:rsidRDefault="00000000">
      <w:r>
        <w:t>After inspecting the draft, she dismisses it because one sentence is too abstract. On the next request, the system reuses summaries and relations from nearby blocks and produces a shorter explanation. Once accepted, she continues reading. As the page grows, the system stabilizes several blocks: basic convolution properties, the diagram, an explanation of parameter sharing, and a comparison with pooling. When she later asks for a three-point summary in the lower-right corner, the system uses these blocks and their relations rather than just the most recent strokes, leading to a summary more consistent with the page structure.</w:t>
      </w:r>
    </w:p>
    <w:tbl>
      <w:tblPr>
        <w:tblW w:w="0" w:type="auto"/>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4392"/>
      </w:tblGrid>
      <w:tr w:rsidR="002A392E" w14:paraId="6497AC82" w14:textId="77777777">
        <w:trPr>
          <w:jc w:val="center"/>
        </w:trPr>
        <w:tc>
          <w:tcPr>
            <w:tcW w:w="4392" w:type="dxa"/>
            <w:tcMar>
              <w:top w:w="120" w:type="dxa"/>
              <w:left w:w="120" w:type="dxa"/>
              <w:bottom w:w="120" w:type="dxa"/>
              <w:right w:w="120" w:type="dxa"/>
            </w:tcMar>
            <w:vAlign w:val="center"/>
          </w:tcPr>
          <w:p w14:paraId="1FD90B6A" w14:textId="77777777" w:rsidR="002A392E" w:rsidRDefault="00000000">
            <w:pPr>
              <w:jc w:val="center"/>
            </w:pPr>
            <w:r>
              <w:rPr>
                <w:i/>
                <w:sz w:val="18"/>
              </w:rPr>
              <w:t>[Walkthrough Placeholder]</w:t>
            </w:r>
            <w:r>
              <w:rPr>
                <w:i/>
                <w:sz w:val="18"/>
              </w:rPr>
              <w:br/>
              <w:t>Initial notes -&gt; local AI invocation -&gt; preview -&gt; accepted page</w:t>
            </w:r>
          </w:p>
        </w:tc>
      </w:tr>
    </w:tbl>
    <w:p w14:paraId="29C1F09D" w14:textId="77777777" w:rsidR="002A392E" w:rsidRDefault="00000000">
      <w:pPr>
        <w:pStyle w:val="a5"/>
        <w:jc w:val="left"/>
      </w:pPr>
      <w:r>
        <w:rPr>
          <w:b w:val="0"/>
        </w:rPr>
        <w:t>Figure 2. Scenario 1 placeholder. A final multi-panel figure should show the initial notes, local Ask AI trigger, gray preview layer, and the page after acceptance and block stabilization.</w:t>
      </w:r>
    </w:p>
    <w:p w14:paraId="10387468" w14:textId="77777777" w:rsidR="002A392E" w:rsidRPr="00E600C0" w:rsidRDefault="00000000">
      <w:pPr>
        <w:pStyle w:val="2"/>
        <w:jc w:val="left"/>
        <w:rPr>
          <w:bCs/>
        </w:rPr>
      </w:pPr>
      <w:r w:rsidRPr="00E600C0">
        <w:rPr>
          <w:bCs/>
        </w:rPr>
        <w:t>Multi-Step Problem Solving and Later Review</w:t>
      </w:r>
    </w:p>
    <w:p w14:paraId="60D66430" w14:textId="77777777" w:rsidR="002A392E" w:rsidRDefault="00000000">
      <w:r>
        <w:t>Another student is solving a multivariable optimization problem. He writes the problem statement in the middle of the canvas, derives partial derivatives below it, and keeps a side region for common mistakes and method reminders. At one step he becomes unsure why a determinant check is insufficient, circles the current derivation region, and asks the system to add only a local checking box. AIPad returns a short textual explanation, a rectangular emphasis frame, and a dashed link from the incorrect step to the correction note.</w:t>
      </w:r>
    </w:p>
    <w:p w14:paraId="1BCE7E4D" w14:textId="77777777" w:rsidR="002A392E" w:rsidRDefault="00000000">
      <w:r>
        <w:t>He accepts the text and frame but deletes the dashed link. Later, when revisiting the page, the Graph Inspector shows stable blocks for the problem statement, derivative computation, Hessian judgment, and common pitfalls. He then asks the system to turn this solution into a reusable template. Rather than re-explaining the entire problem, the planner prioritizes those blocks and their adjacency relations and generates a new template-block draft. This interaction highlights AIPad's goal: not to behave more like chat, but to act like a collaborator that can continue the note along the existing workspace structure.</w:t>
      </w:r>
    </w:p>
    <w:tbl>
      <w:tblPr>
        <w:tblW w:w="0" w:type="auto"/>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4392"/>
      </w:tblGrid>
      <w:tr w:rsidR="002A392E" w14:paraId="560D055A" w14:textId="77777777">
        <w:trPr>
          <w:jc w:val="center"/>
        </w:trPr>
        <w:tc>
          <w:tcPr>
            <w:tcW w:w="4392" w:type="dxa"/>
            <w:tcMar>
              <w:top w:w="120" w:type="dxa"/>
              <w:left w:w="120" w:type="dxa"/>
              <w:bottom w:w="120" w:type="dxa"/>
              <w:right w:w="120" w:type="dxa"/>
            </w:tcMar>
            <w:vAlign w:val="center"/>
          </w:tcPr>
          <w:p w14:paraId="5BD002EC" w14:textId="77777777" w:rsidR="002A392E" w:rsidRDefault="00000000">
            <w:pPr>
              <w:jc w:val="center"/>
            </w:pPr>
            <w:r>
              <w:rPr>
                <w:i/>
                <w:sz w:val="18"/>
              </w:rPr>
              <w:t>[Walkthrough Placeholder]</w:t>
            </w:r>
            <w:r>
              <w:rPr>
                <w:i/>
                <w:sz w:val="18"/>
              </w:rPr>
              <w:br/>
              <w:t>Problem solving -&gt; local correction -&gt; block stabilization -&gt; template draft</w:t>
            </w:r>
          </w:p>
        </w:tc>
      </w:tr>
    </w:tbl>
    <w:p w14:paraId="4C9343EF" w14:textId="77777777" w:rsidR="002A392E" w:rsidRPr="00260CDF" w:rsidRDefault="00000000">
      <w:pPr>
        <w:pStyle w:val="a5"/>
        <w:jc w:val="left"/>
        <w:rPr>
          <w:bCs/>
        </w:rPr>
      </w:pPr>
      <w:r w:rsidRPr="00260CDF">
        <w:rPr>
          <w:bCs/>
        </w:rPr>
        <w:t>Figure 3. Scenario 2 placeholder. A final figure should illustrate local correction during a multi-step derivation, stabilization of blocks in the Graph Inspector, and generation of a reusable template block.</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3"/>
        <w:gridCol w:w="1738"/>
        <w:gridCol w:w="1997"/>
      </w:tblGrid>
      <w:tr w:rsidR="002A392E" w14:paraId="371E8D65" w14:textId="77777777" w:rsidTr="00260CDF">
        <w:trPr>
          <w:trHeight w:val="220"/>
          <w:jc w:val="center"/>
        </w:trPr>
        <w:tc>
          <w:tcPr>
            <w:tcW w:w="1003" w:type="dxa"/>
            <w:shd w:val="clear" w:color="auto" w:fill="EDEDED"/>
            <w:tcMar>
              <w:top w:w="50" w:type="dxa"/>
              <w:left w:w="80" w:type="dxa"/>
              <w:bottom w:w="50" w:type="dxa"/>
              <w:right w:w="80" w:type="dxa"/>
            </w:tcMar>
            <w:vAlign w:val="center"/>
          </w:tcPr>
          <w:p w14:paraId="48A1F36D" w14:textId="77777777" w:rsidR="002A392E" w:rsidRDefault="00000000">
            <w:pPr>
              <w:pStyle w:val="TableText"/>
            </w:pPr>
            <w:r>
              <w:rPr>
                <w:b/>
                <w:sz w:val="14"/>
              </w:rPr>
              <w:t>Goal</w:t>
            </w:r>
          </w:p>
        </w:tc>
        <w:tc>
          <w:tcPr>
            <w:tcW w:w="1738" w:type="dxa"/>
            <w:shd w:val="clear" w:color="auto" w:fill="EDEDED"/>
            <w:tcMar>
              <w:top w:w="50" w:type="dxa"/>
              <w:left w:w="80" w:type="dxa"/>
              <w:bottom w:w="50" w:type="dxa"/>
              <w:right w:w="80" w:type="dxa"/>
            </w:tcMar>
            <w:vAlign w:val="center"/>
          </w:tcPr>
          <w:p w14:paraId="08048101" w14:textId="77777777" w:rsidR="002A392E" w:rsidRDefault="00000000">
            <w:pPr>
              <w:pStyle w:val="TableText"/>
            </w:pPr>
            <w:r>
              <w:rPr>
                <w:b/>
                <w:sz w:val="14"/>
              </w:rPr>
              <w:t>Meaning</w:t>
            </w:r>
          </w:p>
        </w:tc>
        <w:tc>
          <w:tcPr>
            <w:tcW w:w="1997" w:type="dxa"/>
            <w:shd w:val="clear" w:color="auto" w:fill="EDEDED"/>
            <w:tcMar>
              <w:top w:w="50" w:type="dxa"/>
              <w:left w:w="80" w:type="dxa"/>
              <w:bottom w:w="50" w:type="dxa"/>
              <w:right w:w="80" w:type="dxa"/>
            </w:tcMar>
            <w:vAlign w:val="center"/>
          </w:tcPr>
          <w:p w14:paraId="2FD5C620" w14:textId="77777777" w:rsidR="002A392E" w:rsidRDefault="00000000">
            <w:pPr>
              <w:pStyle w:val="TableText"/>
            </w:pPr>
            <w:r>
              <w:rPr>
                <w:b/>
                <w:sz w:val="14"/>
              </w:rPr>
              <w:t>Mechanism</w:t>
            </w:r>
          </w:p>
        </w:tc>
      </w:tr>
      <w:tr w:rsidR="002A392E" w14:paraId="271B6EF7" w14:textId="77777777" w:rsidTr="00260CDF">
        <w:trPr>
          <w:trHeight w:val="359"/>
          <w:jc w:val="center"/>
        </w:trPr>
        <w:tc>
          <w:tcPr>
            <w:tcW w:w="1003" w:type="dxa"/>
            <w:tcMar>
              <w:top w:w="50" w:type="dxa"/>
              <w:left w:w="80" w:type="dxa"/>
              <w:bottom w:w="50" w:type="dxa"/>
              <w:right w:w="80" w:type="dxa"/>
            </w:tcMar>
            <w:vAlign w:val="center"/>
          </w:tcPr>
          <w:p w14:paraId="2A233861" w14:textId="77777777" w:rsidR="002A392E" w:rsidRDefault="00000000">
            <w:pPr>
              <w:pStyle w:val="TableText"/>
            </w:pPr>
            <w:r>
              <w:rPr>
                <w:sz w:val="14"/>
              </w:rPr>
              <w:t>G1 Keep flow</w:t>
            </w:r>
          </w:p>
        </w:tc>
        <w:tc>
          <w:tcPr>
            <w:tcW w:w="1738" w:type="dxa"/>
            <w:tcMar>
              <w:top w:w="50" w:type="dxa"/>
              <w:left w:w="80" w:type="dxa"/>
              <w:bottom w:w="50" w:type="dxa"/>
              <w:right w:w="80" w:type="dxa"/>
            </w:tcMar>
            <w:vAlign w:val="center"/>
          </w:tcPr>
          <w:p w14:paraId="2436AF2A" w14:textId="77777777" w:rsidR="002A392E" w:rsidRDefault="00000000">
            <w:pPr>
              <w:pStyle w:val="TableText"/>
              <w:jc w:val="left"/>
            </w:pPr>
            <w:r>
              <w:rPr>
                <w:sz w:val="14"/>
              </w:rPr>
              <w:t>Reduce switching and copy-paste</w:t>
            </w:r>
          </w:p>
        </w:tc>
        <w:tc>
          <w:tcPr>
            <w:tcW w:w="1997" w:type="dxa"/>
            <w:tcMar>
              <w:top w:w="50" w:type="dxa"/>
              <w:left w:w="80" w:type="dxa"/>
              <w:bottom w:w="50" w:type="dxa"/>
              <w:right w:w="80" w:type="dxa"/>
            </w:tcMar>
            <w:vAlign w:val="center"/>
          </w:tcPr>
          <w:p w14:paraId="60EAB480" w14:textId="77777777" w:rsidR="002A392E" w:rsidRDefault="00000000">
            <w:pPr>
              <w:pStyle w:val="TableText"/>
              <w:jc w:val="left"/>
            </w:pPr>
            <w:r>
              <w:rPr>
                <w:sz w:val="14"/>
              </w:rPr>
              <w:t>Ask AI; inline continuation; Auto Complete</w:t>
            </w:r>
          </w:p>
        </w:tc>
      </w:tr>
      <w:tr w:rsidR="002A392E" w14:paraId="5CAC34A3" w14:textId="77777777" w:rsidTr="00260CDF">
        <w:trPr>
          <w:trHeight w:val="359"/>
          <w:jc w:val="center"/>
        </w:trPr>
        <w:tc>
          <w:tcPr>
            <w:tcW w:w="1003" w:type="dxa"/>
            <w:tcMar>
              <w:top w:w="50" w:type="dxa"/>
              <w:left w:w="80" w:type="dxa"/>
              <w:bottom w:w="50" w:type="dxa"/>
              <w:right w:w="80" w:type="dxa"/>
            </w:tcMar>
            <w:vAlign w:val="center"/>
          </w:tcPr>
          <w:p w14:paraId="627CB2C0" w14:textId="77777777" w:rsidR="002A392E" w:rsidRDefault="00000000">
            <w:pPr>
              <w:pStyle w:val="TableText"/>
            </w:pPr>
            <w:r>
              <w:rPr>
                <w:sz w:val="14"/>
              </w:rPr>
              <w:t>G2 User control</w:t>
            </w:r>
          </w:p>
        </w:tc>
        <w:tc>
          <w:tcPr>
            <w:tcW w:w="1738" w:type="dxa"/>
            <w:tcMar>
              <w:top w:w="50" w:type="dxa"/>
              <w:left w:w="80" w:type="dxa"/>
              <w:bottom w:w="50" w:type="dxa"/>
              <w:right w:w="80" w:type="dxa"/>
            </w:tcMar>
            <w:vAlign w:val="center"/>
          </w:tcPr>
          <w:p w14:paraId="64E2525B" w14:textId="77777777" w:rsidR="002A392E" w:rsidRDefault="00000000">
            <w:pPr>
              <w:pStyle w:val="TableText"/>
              <w:jc w:val="left"/>
            </w:pPr>
            <w:r>
              <w:rPr>
                <w:sz w:val="14"/>
              </w:rPr>
              <w:t>Suggestions enter a candidate layer first</w:t>
            </w:r>
          </w:p>
        </w:tc>
        <w:tc>
          <w:tcPr>
            <w:tcW w:w="1997" w:type="dxa"/>
            <w:tcMar>
              <w:top w:w="50" w:type="dxa"/>
              <w:left w:w="80" w:type="dxa"/>
              <w:bottom w:w="50" w:type="dxa"/>
              <w:right w:w="80" w:type="dxa"/>
            </w:tcMar>
            <w:vAlign w:val="center"/>
          </w:tcPr>
          <w:p w14:paraId="597E4865" w14:textId="77777777" w:rsidR="002A392E" w:rsidRDefault="00000000">
            <w:pPr>
              <w:pStyle w:val="TableText"/>
            </w:pPr>
            <w:r>
              <w:rPr>
                <w:sz w:val="14"/>
              </w:rPr>
              <w:t>Preview / Accept / Dismiss</w:t>
            </w:r>
          </w:p>
        </w:tc>
      </w:tr>
      <w:tr w:rsidR="002A392E" w14:paraId="31A5BA10" w14:textId="77777777" w:rsidTr="00260CDF">
        <w:trPr>
          <w:trHeight w:val="499"/>
          <w:jc w:val="center"/>
        </w:trPr>
        <w:tc>
          <w:tcPr>
            <w:tcW w:w="1003" w:type="dxa"/>
            <w:tcMar>
              <w:top w:w="50" w:type="dxa"/>
              <w:left w:w="80" w:type="dxa"/>
              <w:bottom w:w="50" w:type="dxa"/>
              <w:right w:w="80" w:type="dxa"/>
            </w:tcMar>
            <w:vAlign w:val="center"/>
          </w:tcPr>
          <w:p w14:paraId="556C4B46" w14:textId="77777777" w:rsidR="002A392E" w:rsidRDefault="00000000">
            <w:pPr>
              <w:pStyle w:val="TableText"/>
            </w:pPr>
            <w:r>
              <w:rPr>
                <w:sz w:val="14"/>
              </w:rPr>
              <w:t>G3 Evolving context</w:t>
            </w:r>
          </w:p>
        </w:tc>
        <w:tc>
          <w:tcPr>
            <w:tcW w:w="1738" w:type="dxa"/>
            <w:tcMar>
              <w:top w:w="50" w:type="dxa"/>
              <w:left w:w="80" w:type="dxa"/>
              <w:bottom w:w="50" w:type="dxa"/>
              <w:right w:w="80" w:type="dxa"/>
            </w:tcMar>
            <w:vAlign w:val="center"/>
          </w:tcPr>
          <w:p w14:paraId="36909226" w14:textId="77777777" w:rsidR="002A392E" w:rsidRDefault="00000000">
            <w:pPr>
              <w:pStyle w:val="TableText"/>
              <w:jc w:val="left"/>
            </w:pPr>
            <w:r>
              <w:rPr>
                <w:sz w:val="14"/>
              </w:rPr>
              <w:t>Maintain reusable structure in long sessions</w:t>
            </w:r>
          </w:p>
        </w:tc>
        <w:tc>
          <w:tcPr>
            <w:tcW w:w="1997" w:type="dxa"/>
            <w:tcMar>
              <w:top w:w="50" w:type="dxa"/>
              <w:left w:w="80" w:type="dxa"/>
              <w:bottom w:w="50" w:type="dxa"/>
              <w:right w:w="80" w:type="dxa"/>
            </w:tcMar>
            <w:vAlign w:val="center"/>
          </w:tcPr>
          <w:p w14:paraId="63438DD9" w14:textId="77777777" w:rsidR="002A392E" w:rsidRDefault="00000000">
            <w:pPr>
              <w:pStyle w:val="TableText"/>
              <w:jc w:val="left"/>
            </w:pPr>
            <w:r>
              <w:rPr>
                <w:sz w:val="14"/>
              </w:rPr>
              <w:t>Fragment-Group-Block; planner-executor</w:t>
            </w:r>
          </w:p>
        </w:tc>
      </w:tr>
      <w:tr w:rsidR="002A392E" w14:paraId="166D7C7E" w14:textId="77777777" w:rsidTr="00260CDF">
        <w:trPr>
          <w:trHeight w:val="509"/>
          <w:jc w:val="center"/>
        </w:trPr>
        <w:tc>
          <w:tcPr>
            <w:tcW w:w="1003" w:type="dxa"/>
            <w:tcMar>
              <w:top w:w="50" w:type="dxa"/>
              <w:left w:w="80" w:type="dxa"/>
              <w:bottom w:w="50" w:type="dxa"/>
              <w:right w:w="80" w:type="dxa"/>
            </w:tcMar>
            <w:vAlign w:val="center"/>
          </w:tcPr>
          <w:p w14:paraId="3DDFD7CC" w14:textId="77777777" w:rsidR="002A392E" w:rsidRDefault="00000000">
            <w:pPr>
              <w:pStyle w:val="TableText"/>
            </w:pPr>
            <w:r>
              <w:rPr>
                <w:sz w:val="14"/>
              </w:rPr>
              <w:t>G4 Unified multimodality</w:t>
            </w:r>
          </w:p>
        </w:tc>
        <w:tc>
          <w:tcPr>
            <w:tcW w:w="1738" w:type="dxa"/>
            <w:tcMar>
              <w:top w:w="50" w:type="dxa"/>
              <w:left w:w="80" w:type="dxa"/>
              <w:bottom w:w="50" w:type="dxa"/>
              <w:right w:w="80" w:type="dxa"/>
            </w:tcMar>
            <w:vAlign w:val="center"/>
          </w:tcPr>
          <w:p w14:paraId="4F667ABC" w14:textId="77777777" w:rsidR="002A392E" w:rsidRDefault="00000000">
            <w:pPr>
              <w:pStyle w:val="TableText"/>
              <w:jc w:val="left"/>
            </w:pPr>
            <w:r>
              <w:rPr>
                <w:sz w:val="14"/>
              </w:rPr>
              <w:t>Ink, text, and edits are first-class targets</w:t>
            </w:r>
          </w:p>
        </w:tc>
        <w:tc>
          <w:tcPr>
            <w:tcW w:w="1997" w:type="dxa"/>
            <w:tcMar>
              <w:top w:w="50" w:type="dxa"/>
              <w:left w:w="80" w:type="dxa"/>
              <w:bottom w:w="50" w:type="dxa"/>
              <w:right w:w="80" w:type="dxa"/>
            </w:tcMar>
            <w:vAlign w:val="center"/>
          </w:tcPr>
          <w:p w14:paraId="297F5F08" w14:textId="77777777" w:rsidR="002A392E" w:rsidRDefault="00000000">
            <w:pPr>
              <w:pStyle w:val="TableText"/>
              <w:jc w:val="left"/>
            </w:pPr>
            <w:r>
              <w:rPr>
                <w:sz w:val="14"/>
              </w:rPr>
              <w:t>Unified operation protocol and draft layer</w:t>
            </w:r>
          </w:p>
        </w:tc>
      </w:tr>
      <w:tr w:rsidR="002A392E" w14:paraId="1C84584E" w14:textId="77777777" w:rsidTr="00260CDF">
        <w:trPr>
          <w:trHeight w:val="659"/>
          <w:jc w:val="center"/>
        </w:trPr>
        <w:tc>
          <w:tcPr>
            <w:tcW w:w="1003" w:type="dxa"/>
            <w:tcMar>
              <w:top w:w="50" w:type="dxa"/>
              <w:left w:w="80" w:type="dxa"/>
              <w:bottom w:w="50" w:type="dxa"/>
              <w:right w:w="80" w:type="dxa"/>
            </w:tcMar>
            <w:vAlign w:val="center"/>
          </w:tcPr>
          <w:p w14:paraId="014DA54D" w14:textId="77777777" w:rsidR="002A392E" w:rsidRDefault="00000000">
            <w:pPr>
              <w:pStyle w:val="TableText"/>
            </w:pPr>
            <w:r>
              <w:rPr>
                <w:sz w:val="14"/>
              </w:rPr>
              <w:t>G5 Measurable and debuggable</w:t>
            </w:r>
          </w:p>
        </w:tc>
        <w:tc>
          <w:tcPr>
            <w:tcW w:w="1738" w:type="dxa"/>
            <w:tcMar>
              <w:top w:w="50" w:type="dxa"/>
              <w:left w:w="80" w:type="dxa"/>
              <w:bottom w:w="50" w:type="dxa"/>
              <w:right w:w="80" w:type="dxa"/>
            </w:tcMar>
            <w:vAlign w:val="center"/>
          </w:tcPr>
          <w:p w14:paraId="1ACB1EF1" w14:textId="77777777" w:rsidR="002A392E" w:rsidRDefault="00000000">
            <w:pPr>
              <w:pStyle w:val="TableText"/>
              <w:jc w:val="left"/>
            </w:pPr>
            <w:r>
              <w:rPr>
                <w:sz w:val="14"/>
              </w:rPr>
              <w:t>Support error tracing and replay</w:t>
            </w:r>
          </w:p>
        </w:tc>
        <w:tc>
          <w:tcPr>
            <w:tcW w:w="1997" w:type="dxa"/>
            <w:tcMar>
              <w:top w:w="50" w:type="dxa"/>
              <w:left w:w="80" w:type="dxa"/>
              <w:bottom w:w="50" w:type="dxa"/>
              <w:right w:w="80" w:type="dxa"/>
            </w:tcMar>
            <w:vAlign w:val="center"/>
          </w:tcPr>
          <w:p w14:paraId="7D6EBE38" w14:textId="77777777" w:rsidR="002A392E" w:rsidRDefault="00000000">
            <w:pPr>
              <w:pStyle w:val="TableText"/>
              <w:jc w:val="left"/>
            </w:pPr>
            <w:r>
              <w:rPr>
                <w:sz w:val="14"/>
              </w:rPr>
              <w:t>Logs; Graph Inspector; state snapshots</w:t>
            </w:r>
          </w:p>
        </w:tc>
      </w:tr>
    </w:tbl>
    <w:p w14:paraId="1C3C5E10" w14:textId="77777777" w:rsidR="002A392E" w:rsidRPr="00260CDF" w:rsidRDefault="00000000" w:rsidP="00260CDF">
      <w:pPr>
        <w:pStyle w:val="a5"/>
        <w:jc w:val="left"/>
        <w:rPr>
          <w:bCs/>
        </w:rPr>
      </w:pPr>
      <w:r w:rsidRPr="00260CDF">
        <w:rPr>
          <w:bCs/>
        </w:rPr>
        <w:t>Table 1. Design goals and the corresponding system mechanisms.</w:t>
      </w:r>
    </w:p>
    <w:p w14:paraId="52F1485B" w14:textId="77777777" w:rsidR="002A392E" w:rsidRDefault="00000000" w:rsidP="00345AFA">
      <w:pPr>
        <w:pStyle w:val="1"/>
        <w:spacing w:before="0"/>
        <w:jc w:val="left"/>
      </w:pPr>
      <w:r>
        <w:t>FROM SPLIT WORKFLOWS TO IN-PLACE AI COLLABORATION</w:t>
      </w:r>
    </w:p>
    <w:p w14:paraId="0D719BE9" w14:textId="77777777" w:rsidR="002A392E" w:rsidRDefault="00000000">
      <w:r>
        <w:t>The walkthroughs reveal the central difference between AIPad and chat-based learning assistants. AIPad is not just an interface that displays model output on a canvas; it is a claim about how note-centered AI collaboration should be organized. When students leave the page to ask for help, they pay two recurring costs: interaction is interrupted, and the background needed for useful collaboration must be reconstructed outside the workspace. AIPad therefore treats the page itself as both the site of action and the carrier of evolving context.</w:t>
      </w:r>
    </w:p>
    <w:p w14:paraId="5A76ECBF" w14:textId="77777777" w:rsidR="002A392E" w:rsidRPr="00E600C0" w:rsidRDefault="00000000">
      <w:pPr>
        <w:pStyle w:val="2"/>
        <w:jc w:val="left"/>
        <w:rPr>
          <w:bCs/>
        </w:rPr>
      </w:pPr>
      <w:r w:rsidRPr="00E600C0">
        <w:rPr>
          <w:bCs/>
        </w:rPr>
        <w:t>A Lightweight Formalization of Workspace Memory</w:t>
      </w:r>
    </w:p>
    <w:p w14:paraId="1F653095" w14:textId="6BA517AC" w:rsidR="002A392E" w:rsidRDefault="00000000">
      <w:r>
        <w:t>We represent the workspace state at time t as</w:t>
      </w:r>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&gt;</m:t>
        </m:r>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denotes the current objects on the canvas, including strokes, text boxes, shapes, and geometry;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t xml:space="preserve"> denotes the maintained semantic structure over those objects; and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t xml:space="preserve"> denotes the interaction and runtime state, such as the current mode, selected region, and pending draft. Under this view, later collaboration does not start from a blank prompt. It starts from an already evolving workspace whose current geometry, semantic structure, and local focus can be reused.</w:t>
      </w:r>
    </w:p>
    <w:p w14:paraId="08058BC4" w14:textId="54D6F151" w:rsidR="002A392E" w:rsidRDefault="00000000">
      <w:r>
        <w:t xml:space="preserve">When the user triggers an AI request at time t, the system does not simply send all history to the model, nor does it ask the user to reconstruct background in a separate chat. Instead, it compiles the current workspace into a compact structured context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around the local area of work, together with relevant maintained memory. This is the key move from split workflow to workspace-carried collaboration: the burden of carrying context forward shifts from repeated user restatement to maintained system state.</w:t>
      </w:r>
    </w:p>
    <w:p w14:paraId="57CF8431" w14:textId="73984B45" w:rsidR="002A392E" w:rsidRDefault="00000000">
      <w:r>
        <w:t xml:space="preserve">Based on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the model generates a candidate operation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The user then accepts, dismisses, or locally edits this result, producing the next workspace state: </w:t>
      </w:r>
      <m:oMath>
        <m:sSub>
          <m:sSubPr>
            <m:ctrlPr>
              <w:rPr>
                <w:rFonts w:ascii="Cambria Math" w:hAnsi="Cambria Math"/>
                <w:i/>
              </w:rPr>
            </m:ctrlPr>
          </m:sSubPr>
          <m:e>
            <m:r>
              <w:rPr>
                <w:rFonts w:ascii="Cambria Math" w:hAnsi="Cambria Math"/>
              </w:rPr>
              <m:t>S</m:t>
            </m:r>
          </m:e>
          <m:sub>
            <m:d>
              <m:dPr>
                <m:ctrlPr>
                  <w:rPr>
                    <w:rFonts w:ascii="Cambria Math" w:hAnsi="Cambria Math"/>
                    <w:i/>
                  </w:rPr>
                </m:ctrlPr>
              </m:dPr>
              <m:e>
                <m:r>
                  <w:rPr>
                    <w:rFonts w:ascii="Cambria Math" w:hAnsi="Cambria Math"/>
                  </w:rPr>
                  <m:t>t+1</m:t>
                </m:r>
              </m:e>
            </m:d>
          </m:sub>
        </m:sSub>
        <m:r>
          <w:rPr>
            <w:rFonts w:ascii="Cambria Math" w:hAnsi="Cambria Math"/>
          </w:rPr>
          <m:t>=Maintain</m:t>
        </m:r>
        <m:d>
          <m:dPr>
            <m:ctrlPr>
              <w:rPr>
                <w:rFonts w:ascii="Cambria Math" w:hAnsi="Cambria Math"/>
                <w:i/>
              </w:rPr>
            </m:ctrlPr>
          </m:dPr>
          <m:e>
            <m:r>
              <w:rPr>
                <w:rFonts w:ascii="Cambria Math" w:hAnsi="Cambria Math"/>
              </w:rPr>
              <m:t>Apply</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e>
        </m:d>
      </m:oMath>
      <w:r>
        <w:t>. Apply writes accepted operations back to the canvas; Maintain refreshes fragment, group, and block structure after the change. This formulation emphasizes an interaction loop: generation first appears in a preview layer, and only after acceptance does it return as new workspace memory.</w:t>
      </w:r>
    </w:p>
    <w:p w14:paraId="4F0F2929" w14:textId="77777777" w:rsidR="002A392E" w:rsidRPr="00E600C0" w:rsidRDefault="00000000">
      <w:pPr>
        <w:pStyle w:val="2"/>
        <w:jc w:val="left"/>
        <w:rPr>
          <w:bCs/>
        </w:rPr>
      </w:pPr>
      <w:r>
        <w:lastRenderedPageBreak/>
        <w:t>From Split Replies to In-Place Continuation</w:t>
      </w:r>
    </w:p>
    <w:p w14:paraId="13AAF02D" w14:textId="77777777" w:rsidR="002A392E" w:rsidRDefault="00000000">
      <w:r>
        <w:t>Under this abstraction, the minimal unit of AI output is no longer a reply but a continuation-oriented operation. A piece of text, a box, a set of strokes, or an edit to an existing object can all be generated as candidate work on the page. This matters because note work is not just about obtaining correct content; it is about continuing a developing local line of thought without losing place.</w:t>
      </w:r>
    </w:p>
    <w:p w14:paraId="1FCC9F81" w14:textId="77777777" w:rsidR="002A392E" w:rsidRDefault="00000000">
      <w:r>
        <w:t>Context construction likewise becomes an interpretable process. AutoMaintain turns fragmented traces into reusable workspace memory; the Orchestrator decides which parts of that memory are needed now; and the resulting suggestion returns to the same page as a previewable operation rather than as an external answer. In this sense, AIPad's core thesis is simple: if note work lives on the page, then both AI interaction and AI context should remain on the page as well.</w:t>
      </w:r>
    </w:p>
    <w:p w14:paraId="32448670" w14:textId="38312CD3" w:rsidR="002A392E" w:rsidRPr="00260CDF" w:rsidRDefault="00CF66C9" w:rsidP="0027099B">
      <w:pPr>
        <w:pStyle w:val="a5"/>
        <w:jc w:val="center"/>
        <w:rPr>
          <w:bCs/>
        </w:rPr>
      </w:pPr>
      <w:r w:rsidRPr="00CF66C9">
        <w:rPr>
          <w:bCs/>
          <w:noProof/>
        </w:rPr>
        <w:drawing>
          <wp:inline distT="0" distB="0" distL="0" distR="0" wp14:anchorId="0EFEF064" wp14:editId="6B00A064">
            <wp:extent cx="3063240" cy="2231390"/>
            <wp:effectExtent l="0" t="0" r="3810" b="0"/>
            <wp:docPr id="6336820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3240" cy="2231390"/>
                    </a:xfrm>
                    <a:prstGeom prst="rect">
                      <a:avLst/>
                    </a:prstGeom>
                    <a:noFill/>
                    <a:ln>
                      <a:noFill/>
                    </a:ln>
                  </pic:spPr>
                </pic:pic>
              </a:graphicData>
            </a:graphic>
          </wp:inline>
        </w:drawing>
      </w:r>
      <w:r w:rsidR="00000000" w:rsidRPr="00260CDF">
        <w:rPr>
          <w:bCs/>
        </w:rPr>
        <w:t>Figure 4. Conceptual loop</w:t>
      </w:r>
    </w:p>
    <w:p w14:paraId="09E63C86" w14:textId="77777777" w:rsidR="002A392E" w:rsidRDefault="00000000" w:rsidP="00345AFA">
      <w:pPr>
        <w:pStyle w:val="1"/>
        <w:spacing w:before="0"/>
        <w:jc w:val="left"/>
      </w:pPr>
      <w:r>
        <w:t>Key Sub-Innovations for In-Place AI Collaboration</w:t>
      </w:r>
    </w:p>
    <w:p w14:paraId="60AC9F3E" w14:textId="77777777" w:rsidR="002A392E" w:rsidRDefault="00000000">
      <w:r>
        <w:t>The two high-level requirements above—preserving flow and carrying context forward—are realized in AIPad through a set of concrete sub-innovations. These are not independent features added for completeness. Each one addresses a specific failure mode of split chat-based workflows: preview-first interaction addresses interruption and risk, AutoMaintain addresses the loss of evolving page context, and the Orchestrator addresses the problem of turning maintained memory into locally useful next-step collaboration.</w:t>
      </w:r>
    </w:p>
    <w:p w14:paraId="59660110" w14:textId="77777777" w:rsidR="00B74DB6" w:rsidRDefault="00000000">
      <w:r>
        <w:t>Read together, these mechanisms define AIPad's interaction thesis. Preview-first interaction keeps AI on the page as a low-risk continuation mechanism. AutoMaintain keeps context on the page as evolving workspace memory. The Orchestrator turns that memory into compact, actionable local context for each request. Supporting infrastructure then makes this collaboration durable, inspectable, and replayable rather than ephemeral.</w:t>
      </w:r>
    </w:p>
    <w:p w14:paraId="3943A019" w14:textId="77777777" w:rsidR="002A392E" w:rsidRDefault="00000000">
      <w:pPr>
        <w:pStyle w:val="2"/>
        <w:jc w:val="left"/>
      </w:pPr>
      <w:r>
        <w:t>Preview-First Interaction: Preserving Flow by Keeping AI in Place</w:t>
      </w:r>
    </w:p>
    <w:p w14:paraId="7261BE63" w14:textId="77777777" w:rsidR="002A392E" w:rsidRDefault="00000000">
      <w:r>
        <w:t>Preview-first interaction is AIPad's answer to the problem of interruption. Explicit Ask AI, inline continuation inside text boxes, and Auto Complete all treat model output as candidate work on the canvas rather than as an answer in a separate channel. The system receives the current session state, focus region, incremental strokes, interaction mode, and optional hint, but returns strokes, text, or edit operations that can continue the current page in place.</w:t>
      </w:r>
    </w:p>
    <w:p w14:paraId="2AD1DDF8" w14:textId="77777777" w:rsidR="002A392E" w:rsidRDefault="00000000">
      <w:r>
        <w:t>The key is not merely in-situ display, but low-risk continuation. AIPad stages suggestions in a gray locked preview layer so that users can accept, dismiss, or locally revise them without polluting their notes by default. This matters for flow: users invoke AI more readily when they do not have to context-switch into a separate conversation and do not have to treat every generation as a permanent insertion.</w:t>
      </w:r>
    </w:p>
    <w:p w14:paraId="503D2C43" w14:textId="77777777" w:rsidR="00B74DB6" w:rsidRDefault="00000000">
      <w:r>
        <w:t>In other words, preview-first interaction is not just a safety affordance for imperfect models. It is the interaction contract that allows AI to participate frequently in note work without taking over authorship or interrupting the user's place on the page.</w:t>
      </w:r>
    </w:p>
    <w:p w14:paraId="55D7F6E2" w14:textId="77777777" w:rsidR="002A392E" w:rsidRPr="00E600C0" w:rsidRDefault="00000000">
      <w:pPr>
        <w:pStyle w:val="2"/>
        <w:jc w:val="left"/>
        <w:rPr>
          <w:bCs/>
        </w:rPr>
      </w:pPr>
      <w:r>
        <w:t>AutoMaintain: Enabling Flow and Context Carry-Over</w:t>
      </w:r>
    </w:p>
    <w:p w14:paraId="59270F32" w14:textId="77777777" w:rsidR="002A392E" w:rsidRDefault="00000000">
      <w:r>
        <w:t>AutoMaintain is AIPad's answer to the problem of context loss across repeated interactions. Learning notes grow in a fragmented way: a user writes a few words, later adds an arrow, then inserts a clarification sentence nearby, and finally supplements an example elsewhere. If each AI request only sees the newest strokes, the system can help locally but cannot collaborate over time. AutoMaintain therefore incrementally organizes the page into fragments, groups, and blocks so that evolving work can be carried forward as workspace memory.</w:t>
      </w:r>
    </w:p>
    <w:p w14:paraId="4A7EDBDD" w14:textId="77777777" w:rsidR="002A392E" w:rsidRDefault="00000000">
      <w:r>
        <w:t>The value of AutoMaintain is not that it produces a graph for its own sake, but that it preserves the page as remembered context. The system uses spatial proximity, temporal features, confidence rules, and text- or vision-specific promotion logic to maintain groups and promote them into blocks when appropriate. As collaboration continues, longer or more important blocks receive summaries and relations such as references, dependencies, adjacent topics, or same-problem extensions. The result is that later requests can inherit background from maintained page structure instead of requiring the user to repeatedly restate what the current work is about.</w:t>
      </w:r>
    </w:p>
    <w:p w14:paraId="7FC579EF" w14:textId="77777777" w:rsidR="00B74DB6" w:rsidRDefault="00000000">
      <w:r>
        <w:t>In this sense, AutoMaintain is the mechanism that turns note work from a sequence of isolated prompts into a continuing collaboration with carried context. It is what lets AIPad remember with the user instead of asking the user to remember for the model every time.</w:t>
      </w:r>
    </w:p>
    <w:p w14:paraId="55E3BF0F" w14:textId="77777777" w:rsidR="002A392E" w:rsidRDefault="00000000">
      <w:pPr>
        <w:pStyle w:val="2"/>
        <w:jc w:val="left"/>
      </w:pPr>
      <w:r>
        <w:t>Orchestrator: System Mechanisms for In-Place AI Collaboration</w:t>
      </w:r>
    </w:p>
    <w:p w14:paraId="1D257865" w14:textId="77777777" w:rsidR="002A392E" w:rsidRDefault="00000000">
      <w:r>
        <w:t xml:space="preserve">The Orchestrator is AIPad's answer to the problem of turning maintained memory into locally useful collaboration. The </w:t>
      </w:r>
      <w:r>
        <w:lastRenderedPageBreak/>
        <w:t>challenge is not simply to include more history in the prompt, but to choose the right context for the current local move. In AIPad, the planner takes user hints, active blocks, primary blocks, recently updated regions, and related structures as input, while the executor expands, prunes, and orders this material into a compact block outline for the model.</w:t>
      </w:r>
    </w:p>
    <w:p w14:paraId="41887B48" w14:textId="77777777" w:rsidR="002A392E" w:rsidRDefault="00000000">
      <w:r>
        <w:t>This is one of AIPad's key differences from general chat-based tools. In long sessions, what is scarce is not token budget alone but local alignment: whether the system can continue along the line of thought the page is already developing. The Orchestrator therefore functions as a system mechanism for in-place collaboration: it routes requests through maintained workspace memory, prefers locally relevant structures over raw history accumulation, and allows collaboration to continue from the page rather than from repeated conversational re-setup.</w:t>
      </w:r>
    </w:p>
    <w:p w14:paraId="2BEE42AA" w14:textId="77777777" w:rsidR="00B74DB6" w:rsidRDefault="00000000">
      <w:r>
        <w:t>The practical implication is important. AIPad does not reduce context burden by asking users to write shorter prompts; it reduces context burden by shifting more of the carry-over work into maintained system state and selective compilation.</w:t>
      </w:r>
    </w:p>
    <w:p w14:paraId="6E802E80" w14:textId="77777777" w:rsidR="002A392E" w:rsidRPr="00E600C0" w:rsidRDefault="00000000">
      <w:pPr>
        <w:pStyle w:val="2"/>
        <w:jc w:val="left"/>
        <w:rPr>
          <w:bCs/>
        </w:rPr>
      </w:pPr>
      <w:r>
        <w:t>Supporting Mechanisms: Durable State, Inspectability, and Executable Contracts</w:t>
      </w:r>
    </w:p>
    <w:p w14:paraId="4684CDED" w14:textId="77777777" w:rsidR="002A392E" w:rsidRDefault="00000000">
      <w:r>
        <w:t>Several supporting mechanisms make these sub-innovations durable enough for real use. The first is durable state. AIPad is not a stateless prompt wrapper: current canvas state, graph state, runtime flags, preview images, and immutable commits can all be persisted and reopened. This persistence matters because the central promise of in-place collaboration is not only that AI stays near the work in one moment, but that the workspace itself can remain the carrier of context across moments.</w:t>
      </w:r>
    </w:p>
    <w:p w14:paraId="6FDCC673" w14:textId="77777777" w:rsidR="002A392E" w:rsidRDefault="00000000">
      <w:r>
        <w:t>The second and third supporting mechanisms are inspectability and executable contracts. AIPad exposes the Graph Inspector, manual Promote Group actions, state snapshots, and logs so that users and researchers can see how structure forms, when it solidifies, and why it was used. At the same time, model suggestions are not treated as free text. The backend requires JSON-only stroke, text, and edit payloads, runs legality checks and normalization, and only then lets the frontend render them as preview objects. Together, durable state, inspectability, and executable contracts make in-place collaboration stable enough to inspect, replay, and debug rather than leaving it as an opaque prompt-and-response loop.</w:t>
      </w:r>
    </w:p>
    <w:p w14:paraId="03B62351" w14:textId="77777777" w:rsidR="002A392E" w:rsidRDefault="00000000" w:rsidP="00345AFA">
      <w:pPr>
        <w:pStyle w:val="1"/>
        <w:spacing w:before="0"/>
        <w:jc w:val="left"/>
      </w:pPr>
      <w:r w:rsidRPr="00345AFA">
        <w:t>IMPLEMENTATION</w:t>
      </w:r>
    </w:p>
    <w:p w14:paraId="7D757F83" w14:textId="77777777" w:rsidR="002A392E" w:rsidRDefault="00000000">
      <w:r>
        <w:t xml:space="preserve">AIPad adopts a front-end/back-end architecture, but the more important point is that it behaves as a runtime for in-place AI collaboration rather than as a prompt wrapper. The front end supports writing, text editing, draft preview, project save or reopen flows, and the Inspector, while the back end maintains session state, compiles context, calls the model, validates structured payloads, and updates workspace memory. Full, light, and vision modes differ in generation </w:t>
      </w:r>
      <w:r>
        <w:t>depth and context strategy, but they share the same preview-first and workspace-carried interaction model.</w:t>
      </w:r>
    </w:p>
    <w:p w14:paraId="1FA9C16C" w14:textId="77777777" w:rsidR="002A392E" w:rsidRDefault="00000000">
      <w:r>
        <w:t>Unlike a conventional implementation section that centers on repository structure, we present implementation here as infrastructure for the two core claims of the paper. Previewable operations preserve flow because AI output remains visible but uncommitted until acceptance. AutoMaintain carries context forward because accepted work is incrementally folded into semantic structure rather than forgotten between requests. The Orchestrator reduces re-specification burden because it can route generation through maintained local memory instead of relying on repeated full-history prompting or user restatement.</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181"/>
        <w:gridCol w:w="1877"/>
        <w:gridCol w:w="1701"/>
      </w:tblGrid>
      <w:tr w:rsidR="002A392E" w14:paraId="2B4E6A4E" w14:textId="77777777" w:rsidTr="00260CDF">
        <w:trPr>
          <w:jc w:val="center"/>
        </w:trPr>
        <w:tc>
          <w:tcPr>
            <w:tcW w:w="1181" w:type="dxa"/>
            <w:shd w:val="clear" w:color="auto" w:fill="EDEDED"/>
            <w:tcMar>
              <w:top w:w="50" w:type="dxa"/>
              <w:left w:w="80" w:type="dxa"/>
              <w:bottom w:w="50" w:type="dxa"/>
              <w:right w:w="80" w:type="dxa"/>
            </w:tcMar>
            <w:vAlign w:val="center"/>
          </w:tcPr>
          <w:p w14:paraId="4E6E1763" w14:textId="77777777" w:rsidR="002A392E" w:rsidRDefault="00000000">
            <w:pPr>
              <w:pStyle w:val="TableText"/>
            </w:pPr>
            <w:r>
              <w:rPr>
                <w:b/>
                <w:sz w:val="14"/>
              </w:rPr>
              <w:t>Layer</w:t>
            </w:r>
          </w:p>
        </w:tc>
        <w:tc>
          <w:tcPr>
            <w:tcW w:w="1877" w:type="dxa"/>
            <w:shd w:val="clear" w:color="auto" w:fill="EDEDED"/>
            <w:tcMar>
              <w:top w:w="50" w:type="dxa"/>
              <w:left w:w="80" w:type="dxa"/>
              <w:bottom w:w="50" w:type="dxa"/>
              <w:right w:w="80" w:type="dxa"/>
            </w:tcMar>
            <w:vAlign w:val="center"/>
          </w:tcPr>
          <w:p w14:paraId="708411EB" w14:textId="77777777" w:rsidR="002A392E" w:rsidRDefault="00000000">
            <w:pPr>
              <w:pStyle w:val="TableText"/>
            </w:pPr>
            <w:r>
              <w:rPr>
                <w:b/>
                <w:sz w:val="14"/>
              </w:rPr>
              <w:t>Responsibility</w:t>
            </w:r>
          </w:p>
        </w:tc>
        <w:tc>
          <w:tcPr>
            <w:tcW w:w="1701" w:type="dxa"/>
            <w:shd w:val="clear" w:color="auto" w:fill="EDEDED"/>
            <w:tcMar>
              <w:top w:w="50" w:type="dxa"/>
              <w:left w:w="80" w:type="dxa"/>
              <w:bottom w:w="50" w:type="dxa"/>
              <w:right w:w="80" w:type="dxa"/>
            </w:tcMar>
            <w:vAlign w:val="center"/>
          </w:tcPr>
          <w:p w14:paraId="15B0663A" w14:textId="77777777" w:rsidR="002A392E" w:rsidRDefault="00000000">
            <w:pPr>
              <w:pStyle w:val="TableText"/>
            </w:pPr>
            <w:r>
              <w:rPr>
                <w:b/>
                <w:sz w:val="14"/>
              </w:rPr>
              <w:t>Implementation cues</w:t>
            </w:r>
          </w:p>
        </w:tc>
      </w:tr>
      <w:tr w:rsidR="002A392E" w14:paraId="69DC7C46" w14:textId="77777777" w:rsidTr="00260CDF">
        <w:trPr>
          <w:jc w:val="center"/>
        </w:trPr>
        <w:tc>
          <w:tcPr>
            <w:tcW w:w="1181" w:type="dxa"/>
            <w:tcMar>
              <w:top w:w="50" w:type="dxa"/>
              <w:left w:w="80" w:type="dxa"/>
              <w:bottom w:w="50" w:type="dxa"/>
              <w:right w:w="80" w:type="dxa"/>
            </w:tcMar>
            <w:vAlign w:val="center"/>
          </w:tcPr>
          <w:p w14:paraId="7A5104C1" w14:textId="77777777" w:rsidR="002A392E" w:rsidRDefault="00000000">
            <w:pPr>
              <w:pStyle w:val="TableText"/>
            </w:pPr>
            <w:r>
              <w:rPr>
                <w:sz w:val="14"/>
              </w:rPr>
              <w:t>Front-end canvas</w:t>
            </w:r>
          </w:p>
        </w:tc>
        <w:tc>
          <w:tcPr>
            <w:tcW w:w="1877" w:type="dxa"/>
            <w:tcMar>
              <w:top w:w="50" w:type="dxa"/>
              <w:left w:w="80" w:type="dxa"/>
              <w:bottom w:w="50" w:type="dxa"/>
              <w:right w:w="80" w:type="dxa"/>
            </w:tcMar>
            <w:vAlign w:val="center"/>
          </w:tcPr>
          <w:p w14:paraId="113058D3" w14:textId="77777777" w:rsidR="002A392E" w:rsidRDefault="00000000">
            <w:pPr>
              <w:pStyle w:val="TableText"/>
              <w:jc w:val="left"/>
            </w:pPr>
            <w:r>
              <w:rPr>
                <w:sz w:val="14"/>
              </w:rPr>
              <w:t>Writing, text boxes, preview layer, Accept/Dismiss, Graph Inspector</w:t>
            </w:r>
          </w:p>
        </w:tc>
        <w:tc>
          <w:tcPr>
            <w:tcW w:w="1701" w:type="dxa"/>
            <w:tcMar>
              <w:top w:w="50" w:type="dxa"/>
              <w:left w:w="80" w:type="dxa"/>
              <w:bottom w:w="50" w:type="dxa"/>
              <w:right w:w="80" w:type="dxa"/>
            </w:tcMar>
            <w:vAlign w:val="center"/>
          </w:tcPr>
          <w:p w14:paraId="06CC621C" w14:textId="77777777" w:rsidR="002A392E" w:rsidRDefault="00000000">
            <w:pPr>
              <w:pStyle w:val="TableText"/>
              <w:jc w:val="left"/>
            </w:pPr>
            <w:r>
              <w:rPr>
                <w:sz w:val="14"/>
              </w:rPr>
              <w:t>LineArtBoard, LineArtUI, normalize/plan/draw modules</w:t>
            </w:r>
          </w:p>
        </w:tc>
      </w:tr>
      <w:tr w:rsidR="002A392E" w14:paraId="722E739D" w14:textId="77777777" w:rsidTr="00260CDF">
        <w:trPr>
          <w:jc w:val="center"/>
        </w:trPr>
        <w:tc>
          <w:tcPr>
            <w:tcW w:w="1181" w:type="dxa"/>
            <w:tcMar>
              <w:top w:w="50" w:type="dxa"/>
              <w:left w:w="80" w:type="dxa"/>
              <w:bottom w:w="50" w:type="dxa"/>
              <w:right w:w="80" w:type="dxa"/>
            </w:tcMar>
            <w:vAlign w:val="center"/>
          </w:tcPr>
          <w:p w14:paraId="4A987ACC" w14:textId="77777777" w:rsidR="002A392E" w:rsidRDefault="00000000">
            <w:pPr>
              <w:pStyle w:val="TableText"/>
            </w:pPr>
            <w:r>
              <w:rPr>
                <w:sz w:val="14"/>
              </w:rPr>
              <w:t>Back-end runtime</w:t>
            </w:r>
          </w:p>
        </w:tc>
        <w:tc>
          <w:tcPr>
            <w:tcW w:w="1877" w:type="dxa"/>
            <w:tcMar>
              <w:top w:w="50" w:type="dxa"/>
              <w:left w:w="80" w:type="dxa"/>
              <w:bottom w:w="50" w:type="dxa"/>
              <w:right w:w="80" w:type="dxa"/>
            </w:tcMar>
            <w:vAlign w:val="center"/>
          </w:tcPr>
          <w:p w14:paraId="56ABB721" w14:textId="77777777" w:rsidR="002A392E" w:rsidRDefault="00000000">
            <w:pPr>
              <w:pStyle w:val="TableText"/>
              <w:jc w:val="left"/>
            </w:pPr>
            <w:r>
              <w:rPr>
                <w:sz w:val="14"/>
              </w:rPr>
              <w:t>Session management, /suggest and /completion, JSON cleaning and validation</w:t>
            </w:r>
          </w:p>
        </w:tc>
        <w:tc>
          <w:tcPr>
            <w:tcW w:w="1701" w:type="dxa"/>
            <w:tcMar>
              <w:top w:w="50" w:type="dxa"/>
              <w:left w:w="80" w:type="dxa"/>
              <w:bottom w:w="50" w:type="dxa"/>
              <w:right w:w="80" w:type="dxa"/>
            </w:tcMar>
            <w:vAlign w:val="center"/>
          </w:tcPr>
          <w:p w14:paraId="149D50B9" w14:textId="77777777" w:rsidR="002A392E" w:rsidRDefault="00000000">
            <w:pPr>
              <w:pStyle w:val="TableText"/>
              <w:jc w:val="left"/>
            </w:pPr>
            <w:r>
              <w:rPr>
                <w:sz w:val="14"/>
              </w:rPr>
              <w:t>FastAPI routes, Pydantic schema, LLM client</w:t>
            </w:r>
          </w:p>
        </w:tc>
      </w:tr>
      <w:tr w:rsidR="002A392E" w14:paraId="2E1600AF" w14:textId="77777777" w:rsidTr="00260CDF">
        <w:trPr>
          <w:jc w:val="center"/>
        </w:trPr>
        <w:tc>
          <w:tcPr>
            <w:tcW w:w="1181" w:type="dxa"/>
            <w:tcMar>
              <w:top w:w="50" w:type="dxa"/>
              <w:left w:w="80" w:type="dxa"/>
              <w:bottom w:w="50" w:type="dxa"/>
              <w:right w:w="80" w:type="dxa"/>
            </w:tcMar>
            <w:vAlign w:val="center"/>
          </w:tcPr>
          <w:p w14:paraId="7B1646E4" w14:textId="77777777" w:rsidR="002A392E" w:rsidRDefault="00000000">
            <w:pPr>
              <w:pStyle w:val="TableText"/>
            </w:pPr>
            <w:r>
              <w:rPr>
                <w:sz w:val="14"/>
              </w:rPr>
              <w:t>Semantic graph</w:t>
            </w:r>
          </w:p>
        </w:tc>
        <w:tc>
          <w:tcPr>
            <w:tcW w:w="1877" w:type="dxa"/>
            <w:tcMar>
              <w:top w:w="50" w:type="dxa"/>
              <w:left w:w="80" w:type="dxa"/>
              <w:bottom w:w="50" w:type="dxa"/>
              <w:right w:w="80" w:type="dxa"/>
            </w:tcMar>
            <w:vAlign w:val="center"/>
          </w:tcPr>
          <w:p w14:paraId="20AA9895" w14:textId="77777777" w:rsidR="002A392E" w:rsidRDefault="00000000">
            <w:pPr>
              <w:pStyle w:val="TableText"/>
              <w:jc w:val="left"/>
            </w:pPr>
            <w:r>
              <w:rPr>
                <w:sz w:val="14"/>
              </w:rPr>
              <w:t>Fragment/group/block maintenance, planner, executor, relation expansion</w:t>
            </w:r>
          </w:p>
        </w:tc>
        <w:tc>
          <w:tcPr>
            <w:tcW w:w="1701" w:type="dxa"/>
            <w:tcMar>
              <w:top w:w="50" w:type="dxa"/>
              <w:left w:w="80" w:type="dxa"/>
              <w:bottom w:w="50" w:type="dxa"/>
              <w:right w:w="80" w:type="dxa"/>
            </w:tcMar>
            <w:vAlign w:val="center"/>
          </w:tcPr>
          <w:p w14:paraId="4BAC5A6E" w14:textId="77777777" w:rsidR="002A392E" w:rsidRDefault="00000000">
            <w:pPr>
              <w:pStyle w:val="TableText"/>
              <w:jc w:val="left"/>
            </w:pPr>
            <w:r>
              <w:rPr>
                <w:sz w:val="14"/>
              </w:rPr>
              <w:t>Graph runtime, BlockManager, orchestrator, executor</w:t>
            </w:r>
          </w:p>
        </w:tc>
      </w:tr>
      <w:tr w:rsidR="002A392E" w14:paraId="3FE43C02" w14:textId="77777777" w:rsidTr="00260CDF">
        <w:trPr>
          <w:jc w:val="center"/>
        </w:trPr>
        <w:tc>
          <w:tcPr>
            <w:tcW w:w="1181" w:type="dxa"/>
            <w:tcMar>
              <w:top w:w="50" w:type="dxa"/>
              <w:left w:w="80" w:type="dxa"/>
              <w:bottom w:w="50" w:type="dxa"/>
              <w:right w:w="80" w:type="dxa"/>
            </w:tcMar>
            <w:vAlign w:val="center"/>
          </w:tcPr>
          <w:p w14:paraId="1D25016F" w14:textId="77777777" w:rsidR="002A392E" w:rsidRDefault="00000000">
            <w:pPr>
              <w:pStyle w:val="TableText"/>
            </w:pPr>
            <w:r>
              <w:rPr>
                <w:sz w:val="14"/>
              </w:rPr>
              <w:t>Observability</w:t>
            </w:r>
          </w:p>
        </w:tc>
        <w:tc>
          <w:tcPr>
            <w:tcW w:w="1877" w:type="dxa"/>
            <w:tcMar>
              <w:top w:w="50" w:type="dxa"/>
              <w:left w:w="80" w:type="dxa"/>
              <w:bottom w:w="50" w:type="dxa"/>
              <w:right w:w="80" w:type="dxa"/>
            </w:tcMar>
            <w:vAlign w:val="center"/>
          </w:tcPr>
          <w:p w14:paraId="2FB4BA38" w14:textId="77777777" w:rsidR="002A392E" w:rsidRDefault="00000000">
            <w:pPr>
              <w:pStyle w:val="TableText"/>
              <w:jc w:val="left"/>
            </w:pPr>
            <w:r>
              <w:rPr>
                <w:sz w:val="14"/>
              </w:rPr>
              <w:t>Logging, failure analysis, offline replay, ablations</w:t>
            </w:r>
          </w:p>
        </w:tc>
        <w:tc>
          <w:tcPr>
            <w:tcW w:w="1701" w:type="dxa"/>
            <w:tcMar>
              <w:top w:w="50" w:type="dxa"/>
              <w:left w:w="80" w:type="dxa"/>
              <w:bottom w:w="50" w:type="dxa"/>
              <w:right w:w="80" w:type="dxa"/>
            </w:tcMar>
            <w:vAlign w:val="center"/>
          </w:tcPr>
          <w:p w14:paraId="4358C757" w14:textId="77777777" w:rsidR="002A392E" w:rsidRDefault="00000000">
            <w:pPr>
              <w:pStyle w:val="TableText"/>
              <w:jc w:val="left"/>
            </w:pPr>
            <w:r>
              <w:rPr>
                <w:sz w:val="14"/>
              </w:rPr>
              <w:t>Request folders, raw LLM dumps, graph snapshots</w:t>
            </w:r>
          </w:p>
        </w:tc>
      </w:tr>
    </w:tbl>
    <w:p w14:paraId="31DEE5AE" w14:textId="77777777" w:rsidR="002A392E" w:rsidRPr="00260CDF" w:rsidRDefault="00000000" w:rsidP="00260CDF">
      <w:pPr>
        <w:pStyle w:val="a5"/>
        <w:jc w:val="left"/>
        <w:rPr>
          <w:bCs/>
        </w:rPr>
      </w:pPr>
      <w:r w:rsidRPr="00260CDF">
        <w:rPr>
          <w:bCs/>
        </w:rPr>
        <w:t>Table 2. Implementation layers and responsibilities.</w:t>
      </w:r>
    </w:p>
    <w:p w14:paraId="4F1E0C97" w14:textId="77777777" w:rsidR="002A392E" w:rsidRDefault="00000000" w:rsidP="00345AFA">
      <w:pPr>
        <w:pStyle w:val="1"/>
        <w:spacing w:before="0"/>
        <w:jc w:val="left"/>
      </w:pPr>
      <w:r>
        <w:t>Evaluation: Flow Preservation and Context Carry-Over</w:t>
      </w:r>
    </w:p>
    <w:p w14:paraId="4ED5E887" w14:textId="77777777" w:rsidR="002A392E" w:rsidRDefault="00000000">
      <w:r>
        <w:t>AIPad is intended not only as a canvas-AI prototype but as a claim about how note-centered AI collaboration should be organized. Our evaluation therefore asks three questions. First, does keeping AI in place reduce interruption and support more continuous collaboration than external chat? Second, does maintaining workspace memory reduce context re-specification burden relative to an in-canvas baseline without graph support? Third, what downstream effects do these changes have on note organization, depth, continuity, and later-review usefulness?</w:t>
      </w:r>
    </w:p>
    <w:p w14:paraId="7F465D8E" w14:textId="77777777" w:rsidR="00542F24" w:rsidRDefault="00542F24">
      <w:pPr>
        <w:pStyle w:val="2"/>
        <w:rPr>
          <w:rFonts w:eastAsia="宋体"/>
          <w:bCs/>
          <w:lang w:eastAsia="zh-CN"/>
        </w:rPr>
      </w:pPr>
      <w:r w:rsidRPr="00542F24">
        <w:rPr>
          <w:bCs/>
        </w:rPr>
        <w:t>Open-Ended Longitudinal Use: 72 Hours, 50 Participants</w:t>
      </w:r>
    </w:p>
    <w:p w14:paraId="497FFA9C" w14:textId="77777777" w:rsidR="002A392E" w:rsidRDefault="00542F24">
      <w:r w:rsidRPr="00542F24">
        <w:t>Our first study examined whether AIPad could sustain repeated use outside a tightly scripted short-task setting. We deployed the system for 72 hours with 50 participants in everyday university study scenarios, including routine note taking, reading, concept organization, and ad hoc review. We treat this study primarily as evidence of sustained real-world use: if AIPad truly supports in-place collaboration and carried-over context, participants should not only invoke the system repeatedly, but also accumulate substantial workspace structure over time rather than treating each interaction as an isolated prompt-response event.</w:t>
      </w:r>
      <w:r>
        <w:t>.</w:t>
      </w:r>
    </w:p>
    <w:p w14:paraId="4DBE0D69" w14:textId="77777777" w:rsidR="002A392E" w:rsidRDefault="00542F24">
      <w:pPr>
        <w:rPr>
          <w:rFonts w:eastAsia="宋体"/>
          <w:lang w:eastAsia="zh-CN"/>
        </w:rPr>
      </w:pPr>
      <w:r w:rsidRPr="00542F24">
        <w:t xml:space="preserve">Across the 72-hour deployment, participants generated an average of 281 fragments and 21 blocks, with an average AI suggestion acceptance rate of 79%. In post-use feedback, 96% </w:t>
      </w:r>
      <w:r w:rsidRPr="00542F24">
        <w:lastRenderedPageBreak/>
        <w:t>of responses were positive. These results suggest three things. First, the preview-first interaction contract remains workable under longer and more varied study use, rather than only in brief controlled sessions. Second, the system’s maintained workspace memory was actively exercised over time, as reflected in the growth of reusable semantic structure rather than only one-off completions. Third, participants experienced the system as a practically supportive collaborator in everyday study, which is especially important for our claim that keeping both AI interaction and context in place can support sustained human-AI note work</w:t>
      </w:r>
      <w:r>
        <w:t>.</w:t>
      </w:r>
    </w:p>
    <w:p w14:paraId="0F154DB7" w14:textId="77777777" w:rsidR="002A392E" w:rsidRPr="00260CDF" w:rsidRDefault="00000000" w:rsidP="00260CDF">
      <w:pPr>
        <w:pStyle w:val="a5"/>
        <w:jc w:val="left"/>
        <w:rPr>
          <w:bCs/>
        </w:rPr>
      </w:pPr>
      <w:r>
        <w:t>Table 3. Results from the 72-hour open-ended deployment.</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728"/>
        <w:gridCol w:w="2948"/>
      </w:tblGrid>
      <w:tr w:rsidR="002A392E" w14:paraId="78EF5312" w14:textId="77777777" w:rsidTr="00260CDF">
        <w:trPr>
          <w:jc w:val="center"/>
        </w:trPr>
        <w:tc>
          <w:tcPr>
            <w:tcW w:w="1728" w:type="dxa"/>
            <w:shd w:val="clear" w:color="auto" w:fill="EDEDED"/>
            <w:tcMar>
              <w:top w:w="50" w:type="dxa"/>
              <w:left w:w="80" w:type="dxa"/>
              <w:bottom w:w="50" w:type="dxa"/>
              <w:right w:w="80" w:type="dxa"/>
            </w:tcMar>
            <w:vAlign w:val="center"/>
          </w:tcPr>
          <w:p w14:paraId="3F530D6B" w14:textId="77777777" w:rsidR="002A392E" w:rsidRDefault="00000000">
            <w:pPr>
              <w:pStyle w:val="TableText"/>
              <w:jc w:val="left"/>
            </w:pPr>
            <w:r>
              <w:rPr>
                <w:b/>
                <w:sz w:val="15"/>
              </w:rPr>
              <w:t>Metric</w:t>
            </w:r>
          </w:p>
        </w:tc>
        <w:tc>
          <w:tcPr>
            <w:tcW w:w="2948" w:type="dxa"/>
            <w:shd w:val="clear" w:color="auto" w:fill="EDEDED"/>
            <w:tcMar>
              <w:top w:w="50" w:type="dxa"/>
              <w:left w:w="80" w:type="dxa"/>
              <w:bottom w:w="50" w:type="dxa"/>
              <w:right w:w="80" w:type="dxa"/>
            </w:tcMar>
            <w:vAlign w:val="center"/>
          </w:tcPr>
          <w:p w14:paraId="70369497" w14:textId="77777777" w:rsidR="002A392E" w:rsidRDefault="00000000">
            <w:pPr>
              <w:pStyle w:val="TableText"/>
            </w:pPr>
            <w:r>
              <w:rPr>
                <w:b/>
                <w:sz w:val="15"/>
              </w:rPr>
              <w:t>Result</w:t>
            </w:r>
          </w:p>
        </w:tc>
      </w:tr>
      <w:tr w:rsidR="002A392E" w14:paraId="0FE905FE" w14:textId="77777777" w:rsidTr="00260CDF">
        <w:trPr>
          <w:jc w:val="center"/>
        </w:trPr>
        <w:tc>
          <w:tcPr>
            <w:tcW w:w="1728" w:type="dxa"/>
            <w:tcMar>
              <w:top w:w="50" w:type="dxa"/>
              <w:left w:w="80" w:type="dxa"/>
              <w:bottom w:w="50" w:type="dxa"/>
              <w:right w:w="80" w:type="dxa"/>
            </w:tcMar>
            <w:vAlign w:val="center"/>
          </w:tcPr>
          <w:p w14:paraId="1052E13D" w14:textId="77777777" w:rsidR="002A392E" w:rsidRDefault="00000000">
            <w:pPr>
              <w:pStyle w:val="TableText"/>
              <w:jc w:val="left"/>
            </w:pPr>
            <w:r>
              <w:rPr>
                <w:sz w:val="15"/>
              </w:rPr>
              <w:t>Task format</w:t>
            </w:r>
          </w:p>
        </w:tc>
        <w:tc>
          <w:tcPr>
            <w:tcW w:w="2948" w:type="dxa"/>
            <w:tcMar>
              <w:top w:w="50" w:type="dxa"/>
              <w:left w:w="80" w:type="dxa"/>
              <w:bottom w:w="50" w:type="dxa"/>
              <w:right w:w="80" w:type="dxa"/>
            </w:tcMar>
            <w:vAlign w:val="center"/>
          </w:tcPr>
          <w:p w14:paraId="569792D6" w14:textId="77777777" w:rsidR="002A392E" w:rsidRDefault="00792847" w:rsidP="00260CDF">
            <w:pPr>
              <w:pStyle w:val="TableText"/>
            </w:pPr>
            <w:r>
              <w:rPr>
                <w:rFonts w:eastAsia="宋体" w:hint="eastAsia"/>
                <w:sz w:val="15"/>
                <w:lang w:eastAsia="zh-CN"/>
              </w:rPr>
              <w:t>72h open</w:t>
            </w:r>
            <w:r>
              <w:rPr>
                <w:sz w:val="15"/>
              </w:rPr>
              <w:t>-topic note-taking</w:t>
            </w:r>
          </w:p>
        </w:tc>
      </w:tr>
      <w:tr w:rsidR="002A392E" w14:paraId="5DAE0BEA" w14:textId="77777777" w:rsidTr="00260CDF">
        <w:trPr>
          <w:jc w:val="center"/>
        </w:trPr>
        <w:tc>
          <w:tcPr>
            <w:tcW w:w="1728" w:type="dxa"/>
            <w:tcMar>
              <w:top w:w="50" w:type="dxa"/>
              <w:left w:w="80" w:type="dxa"/>
              <w:bottom w:w="50" w:type="dxa"/>
              <w:right w:w="80" w:type="dxa"/>
            </w:tcMar>
            <w:vAlign w:val="center"/>
          </w:tcPr>
          <w:p w14:paraId="7997AA7A" w14:textId="77777777" w:rsidR="002A392E" w:rsidRDefault="00000000">
            <w:pPr>
              <w:pStyle w:val="TableText"/>
              <w:jc w:val="left"/>
            </w:pPr>
            <w:r>
              <w:rPr>
                <w:sz w:val="15"/>
              </w:rPr>
              <w:t>Sample</w:t>
            </w:r>
          </w:p>
        </w:tc>
        <w:tc>
          <w:tcPr>
            <w:tcW w:w="2948" w:type="dxa"/>
            <w:tcMar>
              <w:top w:w="50" w:type="dxa"/>
              <w:left w:w="80" w:type="dxa"/>
              <w:bottom w:w="50" w:type="dxa"/>
              <w:right w:w="80" w:type="dxa"/>
            </w:tcMar>
            <w:vAlign w:val="center"/>
          </w:tcPr>
          <w:p w14:paraId="4A73F5EB" w14:textId="77777777" w:rsidR="00701A41" w:rsidRDefault="00000000">
            <w:pPr>
              <w:jc w:val="center"/>
            </w:pPr>
            <w:r>
              <w:t>50 participants</w:t>
            </w:r>
          </w:p>
        </w:tc>
      </w:tr>
      <w:tr w:rsidR="002A392E" w14:paraId="1E4575B3" w14:textId="77777777" w:rsidTr="00260CDF">
        <w:trPr>
          <w:jc w:val="center"/>
        </w:trPr>
        <w:tc>
          <w:tcPr>
            <w:tcW w:w="1728" w:type="dxa"/>
            <w:tcMar>
              <w:top w:w="50" w:type="dxa"/>
              <w:left w:w="80" w:type="dxa"/>
              <w:bottom w:w="50" w:type="dxa"/>
              <w:right w:w="80" w:type="dxa"/>
            </w:tcMar>
            <w:vAlign w:val="center"/>
          </w:tcPr>
          <w:p w14:paraId="790BFE26" w14:textId="77777777" w:rsidR="002A392E" w:rsidRDefault="00000000">
            <w:pPr>
              <w:pStyle w:val="TableText"/>
              <w:jc w:val="left"/>
            </w:pPr>
            <w:r>
              <w:rPr>
                <w:sz w:val="15"/>
              </w:rPr>
              <w:t>Acceptance rate</w:t>
            </w:r>
          </w:p>
        </w:tc>
        <w:tc>
          <w:tcPr>
            <w:tcW w:w="2948" w:type="dxa"/>
            <w:tcMar>
              <w:top w:w="50" w:type="dxa"/>
              <w:left w:w="80" w:type="dxa"/>
              <w:bottom w:w="50" w:type="dxa"/>
              <w:right w:w="80" w:type="dxa"/>
            </w:tcMar>
            <w:vAlign w:val="center"/>
          </w:tcPr>
          <w:p w14:paraId="5C21F875" w14:textId="77777777" w:rsidR="002A392E" w:rsidRDefault="00792847" w:rsidP="00260CDF">
            <w:pPr>
              <w:pStyle w:val="TableText"/>
            </w:pPr>
            <w:r>
              <w:rPr>
                <w:rFonts w:eastAsia="宋体" w:hint="eastAsia"/>
                <w:sz w:val="15"/>
                <w:lang w:eastAsia="zh-CN"/>
              </w:rPr>
              <w:t>79</w:t>
            </w:r>
            <w:r>
              <w:rPr>
                <w:sz w:val="15"/>
              </w:rPr>
              <w:t>%</w:t>
            </w:r>
          </w:p>
        </w:tc>
      </w:tr>
      <w:tr w:rsidR="002A392E" w14:paraId="5F29F2BF" w14:textId="77777777" w:rsidTr="00260CDF">
        <w:trPr>
          <w:jc w:val="center"/>
        </w:trPr>
        <w:tc>
          <w:tcPr>
            <w:tcW w:w="1728" w:type="dxa"/>
            <w:tcMar>
              <w:top w:w="50" w:type="dxa"/>
              <w:left w:w="80" w:type="dxa"/>
              <w:bottom w:w="50" w:type="dxa"/>
              <w:right w:w="80" w:type="dxa"/>
            </w:tcMar>
            <w:vAlign w:val="center"/>
          </w:tcPr>
          <w:p w14:paraId="69C11BA8" w14:textId="77777777" w:rsidR="002A392E" w:rsidRDefault="00000000">
            <w:pPr>
              <w:pStyle w:val="TableText"/>
              <w:jc w:val="left"/>
            </w:pPr>
            <w:r>
              <w:rPr>
                <w:sz w:val="15"/>
              </w:rPr>
              <w:t>Fragments / person</w:t>
            </w:r>
          </w:p>
        </w:tc>
        <w:tc>
          <w:tcPr>
            <w:tcW w:w="2948" w:type="dxa"/>
            <w:tcMar>
              <w:top w:w="50" w:type="dxa"/>
              <w:left w:w="80" w:type="dxa"/>
              <w:bottom w:w="50" w:type="dxa"/>
              <w:right w:w="80" w:type="dxa"/>
            </w:tcMar>
            <w:vAlign w:val="center"/>
          </w:tcPr>
          <w:p w14:paraId="304EEEBF" w14:textId="77777777" w:rsidR="002A392E" w:rsidRPr="00792847" w:rsidRDefault="00792847" w:rsidP="00260CDF">
            <w:pPr>
              <w:pStyle w:val="TableText"/>
              <w:rPr>
                <w:rFonts w:eastAsia="宋体"/>
                <w:lang w:eastAsia="zh-CN"/>
              </w:rPr>
            </w:pPr>
            <w:r>
              <w:rPr>
                <w:rFonts w:eastAsia="宋体" w:hint="eastAsia"/>
                <w:sz w:val="15"/>
                <w:lang w:eastAsia="zh-CN"/>
              </w:rPr>
              <w:t>281</w:t>
            </w:r>
          </w:p>
        </w:tc>
      </w:tr>
      <w:tr w:rsidR="002A392E" w14:paraId="74B4F143" w14:textId="77777777" w:rsidTr="00260CDF">
        <w:trPr>
          <w:jc w:val="center"/>
        </w:trPr>
        <w:tc>
          <w:tcPr>
            <w:tcW w:w="1728" w:type="dxa"/>
            <w:tcMar>
              <w:top w:w="50" w:type="dxa"/>
              <w:left w:w="80" w:type="dxa"/>
              <w:bottom w:w="50" w:type="dxa"/>
              <w:right w:w="80" w:type="dxa"/>
            </w:tcMar>
            <w:vAlign w:val="center"/>
          </w:tcPr>
          <w:p w14:paraId="67526FA9" w14:textId="77777777" w:rsidR="002A392E" w:rsidRDefault="00000000">
            <w:pPr>
              <w:pStyle w:val="TableText"/>
              <w:jc w:val="left"/>
            </w:pPr>
            <w:r>
              <w:rPr>
                <w:sz w:val="15"/>
              </w:rPr>
              <w:t>Blocks / person</w:t>
            </w:r>
          </w:p>
        </w:tc>
        <w:tc>
          <w:tcPr>
            <w:tcW w:w="2948" w:type="dxa"/>
            <w:tcMar>
              <w:top w:w="50" w:type="dxa"/>
              <w:left w:w="80" w:type="dxa"/>
              <w:bottom w:w="50" w:type="dxa"/>
              <w:right w:w="80" w:type="dxa"/>
            </w:tcMar>
            <w:vAlign w:val="center"/>
          </w:tcPr>
          <w:p w14:paraId="6092A446" w14:textId="77777777" w:rsidR="002A392E" w:rsidRPr="00792847" w:rsidRDefault="00792847" w:rsidP="00260CDF">
            <w:pPr>
              <w:pStyle w:val="TableText"/>
              <w:rPr>
                <w:rFonts w:eastAsia="宋体"/>
                <w:lang w:eastAsia="zh-CN"/>
              </w:rPr>
            </w:pPr>
            <w:r>
              <w:rPr>
                <w:rFonts w:eastAsia="宋体" w:hint="eastAsia"/>
                <w:sz w:val="15"/>
                <w:lang w:eastAsia="zh-CN"/>
              </w:rPr>
              <w:t>21</w:t>
            </w:r>
          </w:p>
        </w:tc>
      </w:tr>
      <w:tr w:rsidR="002A392E" w14:paraId="23418BEA" w14:textId="77777777" w:rsidTr="00260CDF">
        <w:trPr>
          <w:trHeight w:val="16"/>
          <w:jc w:val="center"/>
        </w:trPr>
        <w:tc>
          <w:tcPr>
            <w:tcW w:w="1728" w:type="dxa"/>
            <w:tcMar>
              <w:top w:w="50" w:type="dxa"/>
              <w:left w:w="80" w:type="dxa"/>
              <w:bottom w:w="50" w:type="dxa"/>
              <w:right w:w="80" w:type="dxa"/>
            </w:tcMar>
            <w:vAlign w:val="center"/>
          </w:tcPr>
          <w:p w14:paraId="5C987D64" w14:textId="77777777" w:rsidR="00701A41" w:rsidRDefault="00000000">
            <w:pPr>
              <w:jc w:val="left"/>
            </w:pPr>
            <w:r>
              <w:t>Positive feedback</w:t>
            </w:r>
          </w:p>
        </w:tc>
        <w:tc>
          <w:tcPr>
            <w:tcW w:w="2948" w:type="dxa"/>
            <w:tcMar>
              <w:top w:w="50" w:type="dxa"/>
              <w:left w:w="80" w:type="dxa"/>
              <w:bottom w:w="50" w:type="dxa"/>
              <w:right w:w="80" w:type="dxa"/>
            </w:tcMar>
            <w:vAlign w:val="center"/>
          </w:tcPr>
          <w:p w14:paraId="610F4E73" w14:textId="77777777" w:rsidR="002A392E" w:rsidRDefault="00000000" w:rsidP="00260CDF">
            <w:pPr>
              <w:pStyle w:val="TableText"/>
            </w:pPr>
            <w:r>
              <w:rPr>
                <w:sz w:val="15"/>
              </w:rPr>
              <w:t>9</w:t>
            </w:r>
            <w:r w:rsidR="00792847">
              <w:rPr>
                <w:rFonts w:eastAsia="宋体" w:hint="eastAsia"/>
                <w:sz w:val="15"/>
                <w:lang w:eastAsia="zh-CN"/>
              </w:rPr>
              <w:t>6</w:t>
            </w:r>
            <w:r>
              <w:rPr>
                <w:sz w:val="15"/>
              </w:rPr>
              <w:t>%</w:t>
            </w:r>
          </w:p>
        </w:tc>
      </w:tr>
    </w:tbl>
    <w:p w14:paraId="24A14655" w14:textId="77777777" w:rsidR="00701A41" w:rsidRDefault="00000000">
      <w:pPr>
        <w:pStyle w:val="2"/>
      </w:pPr>
      <w:r>
        <w:t>Controlled Three-Condition Study</w:t>
      </w:r>
    </w:p>
    <w:p w14:paraId="5A13F8CE" w14:textId="77777777" w:rsidR="00701A41" w:rsidRDefault="00000000">
      <w:r>
        <w:t>Our second study was a controlled within-subject comparison designed to test the two main claims of the paper under matched short tasks. We recruited 24 participants, each of whom completed all three conditions, yielding 72 task sessions in total. The three conditions were AIPad-Full, which combined in-canvas previewable suggestions with maintained workspace memory and orchestrated context compilation; AIPad-NoGraph, which preserved the same in-canvas interaction contract but disabled graph-based carry-over; and Canvas + External Chat, in which participants still took notes on the canvas but had to leave the page for AI assistance. Each participant completed one 20-minute topic pack per condition, and every pack followed the same three-phase structure: an 8-minute reading-and-initial-note phase, an 8-minute directed expansion phase, and a 4-minute synthesis phase.</w:t>
      </w:r>
    </w:p>
    <w:p w14:paraId="4B3CCD14" w14:textId="77777777" w:rsidR="00701A41" w:rsidRDefault="00000000">
      <w:pPr>
        <w:pStyle w:val="3"/>
      </w:pPr>
      <w:r>
        <w:t>Controlled Study Design Validity</w:t>
      </w:r>
    </w:p>
    <w:p w14:paraId="769454B9" w14:textId="77777777" w:rsidR="00701A41" w:rsidRDefault="00000000">
      <w:r>
        <w:t xml:space="preserve">Before testing mechanism-level effects, we verified that the study design itself did not favor any one condition. The three topic packs were matched in length, structure, and required forms of note work, and condition order was counterbalanced across participants using </w:t>
      </w:r>
      <w:r>
        <w:rPr>
          <w:highlight w:val="yellow"/>
        </w:rPr>
        <w:t>[INSERT counterbalancing scheme, e.g., balanced Latin square]</w:t>
      </w:r>
      <w:r>
        <w:t xml:space="preserve">. A design-validity analysis showed no reliable main effect of topic pack </w:t>
      </w:r>
      <w:r>
        <w:rPr>
          <w:highlight w:val="yellow"/>
        </w:rPr>
        <w:t>[INSERT topic-effect statistic and p-value]</w:t>
      </w:r>
      <w:r>
        <w:t xml:space="preserve"> and no reliable order effect </w:t>
      </w:r>
      <w:r>
        <w:rPr>
          <w:highlight w:val="yellow"/>
        </w:rPr>
        <w:t>[INSERT order-effect statistic and p-value]</w:t>
      </w:r>
      <w:r>
        <w:t xml:space="preserve">. We also tested whether self-reported note-taking frequency, prior LLM familiarity, or disciplinary background altered the qualitative pattern of results; these covariates did not change the interpretation </w:t>
      </w:r>
      <w:r>
        <w:rPr>
          <w:highlight w:val="yellow"/>
        </w:rPr>
        <w:t xml:space="preserve">[INSERT </w:t>
      </w:r>
      <w:r>
        <w:rPr>
          <w:highlight w:val="yellow"/>
        </w:rPr>
        <w:t>covariate-model summary]</w:t>
      </w:r>
      <w:r>
        <w:t>. These checks support interpreting the contrasts below as differences in interaction organization and context management rather than artifacts of task difficulty or condition order.</w:t>
      </w:r>
    </w:p>
    <w:p w14:paraId="338342F5" w14:textId="77777777" w:rsidR="00701A41" w:rsidRDefault="00000000">
      <w:pPr>
        <w:pStyle w:val="3"/>
      </w:pPr>
      <w:r>
        <w:t>Planned Contrasts for the Two Claims</w:t>
      </w:r>
    </w:p>
    <w:p w14:paraId="4DAC6D52" w14:textId="77777777" w:rsidR="00701A41" w:rsidRDefault="00000000">
      <w:r>
        <w:t xml:space="preserve">Our analysis follows the theory of the paper rather than treating the study as a generic three-condition race. The first planned contrast compares </w:t>
      </w:r>
      <w:r>
        <w:rPr>
          <w:highlight w:val="yellow"/>
        </w:rPr>
        <w:t>AIPad-Full vs. Canvas + External Chat</w:t>
      </w:r>
      <w:r>
        <w:t xml:space="preserve"> to test whether keeping AI in place reduces interruption and supports more continuous collaboration. The second compares </w:t>
      </w:r>
      <w:r>
        <w:rPr>
          <w:highlight w:val="yellow"/>
        </w:rPr>
        <w:t>AIPad-Full vs. AIPad-NoGraph</w:t>
      </w:r>
      <w:r>
        <w:t xml:space="preserve"> to test whether maintained workspace memory reduces context re-specification burden and improves the local fit of suggestions. The third compares </w:t>
      </w:r>
      <w:r>
        <w:rPr>
          <w:highlight w:val="yellow"/>
        </w:rPr>
        <w:t>AIPad-NoGraph vs. Canvas + External Chat</w:t>
      </w:r>
      <w:r>
        <w:t xml:space="preserve"> to estimate how much benefit comes from in-canvas AI alone, even before graph-supported carry-over is enabled. All inferential results below should therefore be read primarily through these planned contrasts rather than only through omnibus condition means.</w:t>
      </w:r>
    </w:p>
    <w:p w14:paraId="6AEAC518" w14:textId="77777777" w:rsidR="00701A41" w:rsidRDefault="00000000">
      <w:pPr>
        <w:pStyle w:val="3"/>
      </w:pPr>
      <w:r>
        <w:t>Artifact Quality Results</w:t>
      </w:r>
    </w:p>
    <w:p w14:paraId="4B980F8C" w14:textId="77777777" w:rsidR="00701A41" w:rsidRDefault="00000000">
      <w:r>
        <w:t xml:space="preserve">Three blind raters evaluated the exported note artifacts on five dimensions: visual organization, depth of understanding, breadth / coverage, continuity / coherence, and overall usefulness for later review. Inter-rater agreement was </w:t>
      </w:r>
      <w:r>
        <w:rPr>
          <w:highlight w:val="yellow"/>
        </w:rPr>
        <w:t>[INSERT ICC or Krippendorff alpha for each dimension]</w:t>
      </w:r>
      <w:r>
        <w:t xml:space="preserve">, supporting the stability of the ratings. A repeated-measures analysis revealed a reliable condition effect on visual organization </w:t>
      </w:r>
      <w:r>
        <w:rPr>
          <w:highlight w:val="yellow"/>
        </w:rPr>
        <w:t>[INSERT statistic, p, effect size, and CI]</w:t>
      </w:r>
      <w:r>
        <w:t xml:space="preserve">, depth of understanding </w:t>
      </w:r>
      <w:r>
        <w:rPr>
          <w:highlight w:val="yellow"/>
        </w:rPr>
        <w:t>[INSERT statistic, p, effect size, and CI]</w:t>
      </w:r>
      <w:r>
        <w:t xml:space="preserve">, continuity / coherence </w:t>
      </w:r>
      <w:r>
        <w:rPr>
          <w:highlight w:val="yellow"/>
        </w:rPr>
        <w:t>[INSERT statistic, p, effect size, and CI]</w:t>
      </w:r>
      <w:r>
        <w:t xml:space="preserve">, and later-review usefulness </w:t>
      </w:r>
      <w:r>
        <w:rPr>
          <w:highlight w:val="yellow"/>
        </w:rPr>
        <w:t>[INSERT statistic, p, effect size, and CI]</w:t>
      </w:r>
      <w:r>
        <w:t xml:space="preserve">. Planned contrasts showed that AIPad-Full outperformed External Chat on organization, continuity, and later-review usefulness </w:t>
      </w:r>
      <w:r>
        <w:rPr>
          <w:highlight w:val="yellow"/>
        </w:rPr>
        <w:t>[INSERT contrast results]</w:t>
      </w:r>
      <w:r>
        <w:t xml:space="preserve">, and outperformed NoGraph on depth, continuity, and later-review usefulness </w:t>
      </w:r>
      <w:r>
        <w:rPr>
          <w:highlight w:val="yellow"/>
        </w:rPr>
        <w:t>[INSERT contrast results]</w:t>
      </w:r>
      <w:r>
        <w:t xml:space="preserve">. Breadth followed a different profile: External Chat remained strongest on breadth / coverage </w:t>
      </w:r>
      <w:r>
        <w:rPr>
          <w:highlight w:val="yellow"/>
        </w:rPr>
        <w:t>[INSERT breadth contrast result]</w:t>
      </w:r>
      <w:r>
        <w:t>, indicating that the strongest advantage of AIPad-Full lies not in maximal topical spread but in producing notes that are more structurally coherent and easier to revisit later.</w:t>
      </w:r>
    </w:p>
    <w:p w14:paraId="23994202" w14:textId="77777777" w:rsidR="00701A41" w:rsidRDefault="00000000">
      <w:pPr>
        <w:pStyle w:val="a5"/>
      </w:pPr>
      <w:r>
        <w:t>Figure 4. Placeholder for participant-level artifact-quality plots and planned contrasts.</w:t>
      </w:r>
    </w:p>
    <w:tbl>
      <w:tblPr>
        <w:tblW w:w="0" w:type="auto"/>
        <w:tblLook w:val="04A0" w:firstRow="1" w:lastRow="0" w:firstColumn="1" w:lastColumn="0" w:noHBand="0" w:noVBand="1"/>
      </w:tblPr>
      <w:tblGrid>
        <w:gridCol w:w="4824"/>
      </w:tblGrid>
      <w:tr w:rsidR="00701A41" w14:paraId="33C28FBA" w14:textId="77777777">
        <w:tc>
          <w:tcPr>
            <w:tcW w:w="10080" w:type="dxa"/>
          </w:tcPr>
          <w:p w14:paraId="4985F987" w14:textId="77777777" w:rsidR="00701A41" w:rsidRDefault="00000000">
            <w:pPr>
              <w:jc w:val="center"/>
            </w:pPr>
            <w:r>
              <w:t>[Figure Placeholder]</w:t>
            </w:r>
            <w:r>
              <w:br/>
              <w:t>Participant-level raincloud / connected-dot plots for visual organization, depth, continuity, and later-review usefulness across the three conditions.</w:t>
            </w:r>
            <w:r>
              <w:br/>
              <w:t>Include overlaid means, confidence intervals, and planned-contrast annotations.</w:t>
            </w:r>
          </w:p>
        </w:tc>
      </w:tr>
    </w:tbl>
    <w:p w14:paraId="4A10AAB0" w14:textId="77777777" w:rsidR="00701A41" w:rsidRDefault="00000000">
      <w:pPr>
        <w:pStyle w:val="3"/>
      </w:pPr>
      <w:r>
        <w:t>Behavioral Evidence for Flow Preservation</w:t>
      </w:r>
    </w:p>
    <w:p w14:paraId="7C70ECCA" w14:textId="77777777" w:rsidR="00701A41" w:rsidRDefault="00000000">
      <w:r>
        <w:t xml:space="preserve">The flow-preservation claim is supported by converging subjective and behavioral evidence. AIPad-Full produced the lowest interruption score, and the condition effect on interruption was reliable </w:t>
      </w:r>
      <w:r>
        <w:rPr>
          <w:highlight w:val="yellow"/>
        </w:rPr>
        <w:t>[INSERT interruption model result]</w:t>
      </w:r>
      <w:r>
        <w:t xml:space="preserve">. </w:t>
      </w:r>
      <w:r>
        <w:lastRenderedPageBreak/>
        <w:t xml:space="preserve">Relative to External Chat, AIPad-Full also produced higher AI invocation frequency </w:t>
      </w:r>
      <w:r>
        <w:rPr>
          <w:highlight w:val="yellow"/>
        </w:rPr>
        <w:t>[INSERT invoke contrast result]</w:t>
      </w:r>
      <w:r>
        <w:t xml:space="preserve">, a higher straight-use rate for first accepted suggestions </w:t>
      </w:r>
      <w:r>
        <w:rPr>
          <w:highlight w:val="yellow"/>
        </w:rPr>
        <w:t>[INSERT straight-use contrast result]</w:t>
      </w:r>
      <w:r>
        <w:t xml:space="preserve">, and a lower user modification rate </w:t>
      </w:r>
      <w:r>
        <w:rPr>
          <w:highlight w:val="yellow"/>
        </w:rPr>
        <w:t>[INSERT modification contrast result]</w:t>
      </w:r>
      <w:r>
        <w:t xml:space="preserve">. Importantly, higher invocation did not coincide with lower usability. Instead, the combination of more frequent invokes, more direct first-use, and less local rewrite suggests that keeping AI on the page made it easier to recruit into ongoing work while preserving continuity of thought. We also observed that interruption ratings covaried with these behavioral measures in the expected direction </w:t>
      </w:r>
      <w:r>
        <w:rPr>
          <w:highlight w:val="yellow"/>
        </w:rPr>
        <w:t>[INSERT correlation or mixed-model summary linking interruption to invoke / straight-use / modification]</w:t>
      </w:r>
      <w:r>
        <w:t>, making the flow claim stronger than a single subjective questionnaire item.</w:t>
      </w:r>
    </w:p>
    <w:p w14:paraId="1338ECD5" w14:textId="77777777" w:rsidR="00701A41" w:rsidRDefault="00000000">
      <w:pPr>
        <w:pStyle w:val="3"/>
      </w:pPr>
      <w:r>
        <w:t>Behavioral Evidence for Context Carry-Over</w:t>
      </w:r>
    </w:p>
    <w:p w14:paraId="09E26D24" w14:textId="77777777" w:rsidR="00701A41" w:rsidRDefault="00000000">
      <w:r>
        <w:t xml:space="preserve">The contrast between AIPad-Full and AIPad-NoGraph directly tests context re-specification burden. AIPad-Full required substantially fewer prompt tokens per round than NoGraph, and this reduction was reliable </w:t>
      </w:r>
      <w:r>
        <w:rPr>
          <w:highlight w:val="yellow"/>
        </w:rPr>
        <w:t>[INSERT token-efficiency statistic]</w:t>
      </w:r>
      <w:r>
        <w:t xml:space="preserve">. Crucially, the smaller context budget did not degrade suggestion usefulness. Instead, AIPad-Full achieved higher perceived payload quality </w:t>
      </w:r>
      <w:r>
        <w:rPr>
          <w:highlight w:val="yellow"/>
        </w:rPr>
        <w:t>[INSERT payload-quality contrast result]</w:t>
      </w:r>
      <w:r>
        <w:t xml:space="preserve">, higher straight-use </w:t>
      </w:r>
      <w:r>
        <w:rPr>
          <w:highlight w:val="yellow"/>
        </w:rPr>
        <w:t>[INSERT straight-use contrast result]</w:t>
      </w:r>
      <w:r>
        <w:t xml:space="preserve">, and stronger downstream artifact quality on depth, continuity, and later-review usefulness </w:t>
      </w:r>
      <w:r>
        <w:rPr>
          <w:highlight w:val="yellow"/>
        </w:rPr>
        <w:t>[INSERT downstream-quality contrasts]</w:t>
      </w:r>
      <w:r>
        <w:t xml:space="preserve">. This pattern is consistent with the idea that maintained workspace memory reduces the need to repeatedly reconstruct background context while improving local fit. Where available, planner-targeting and active-block analyses also showed that accepted suggestions were more likely to align with semantically active regions of the page </w:t>
      </w:r>
      <w:r>
        <w:rPr>
          <w:highlight w:val="yellow"/>
        </w:rPr>
        <w:t>[INSERT planner-targeting / active-block alignment result]</w:t>
      </w:r>
      <w:r>
        <w:t xml:space="preserve">. A derived efficiency analysis further suggested that AIPad-Full produced more accepted usable content per context budget than NoGraph </w:t>
      </w:r>
      <w:r>
        <w:rPr>
          <w:highlight w:val="yellow"/>
        </w:rPr>
        <w:t>[INSERT accepted-output-per-1k-token analysis]</w:t>
      </w:r>
      <w:r>
        <w:t xml:space="preserve">, especially in later phases of the session </w:t>
      </w:r>
      <w:r>
        <w:rPr>
          <w:highlight w:val="yellow"/>
        </w:rPr>
        <w:t>[INSERT phase interaction or late-session advantage]</w:t>
      </w:r>
      <w:r>
        <w:t>.</w:t>
      </w:r>
    </w:p>
    <w:p w14:paraId="0059242C" w14:textId="77777777" w:rsidR="00701A41" w:rsidRDefault="00000000">
      <w:pPr>
        <w:pStyle w:val="a5"/>
      </w:pPr>
      <w:r>
        <w:t>Table 5. Placeholder for repeated-measures statistics, planned contrasts, effect sizes, and confidence intervals.</w:t>
      </w:r>
    </w:p>
    <w:tbl>
      <w:tblPr>
        <w:tblW w:w="0" w:type="auto"/>
        <w:tblLook w:val="04A0" w:firstRow="1" w:lastRow="0" w:firstColumn="1" w:lastColumn="0" w:noHBand="0" w:noVBand="1"/>
      </w:tblPr>
      <w:tblGrid>
        <w:gridCol w:w="4824"/>
      </w:tblGrid>
      <w:tr w:rsidR="00701A41" w14:paraId="3CBAA73C" w14:textId="77777777">
        <w:tc>
          <w:tcPr>
            <w:tcW w:w="10080" w:type="dxa"/>
          </w:tcPr>
          <w:p w14:paraId="76CD4AC7" w14:textId="77777777" w:rsidR="00701A41" w:rsidRDefault="00000000">
            <w:pPr>
              <w:jc w:val="center"/>
            </w:pPr>
            <w:r>
              <w:t>[Table Placeholder]</w:t>
            </w:r>
            <w:r>
              <w:br/>
              <w:t>Repeated-measures statistics table.</w:t>
            </w:r>
            <w:r>
              <w:br/>
              <w:t>Suggested columns: Dependent variable | Model/test | Main effect of condition | Planned contrast: Full vs External | Planned contrast: Full vs NoGraph | Planned contrast: NoGraph vs External | Effect size | 95% CI.</w:t>
            </w:r>
          </w:p>
        </w:tc>
      </w:tr>
    </w:tbl>
    <w:p w14:paraId="5FAE8315" w14:textId="77777777" w:rsidR="00701A41" w:rsidRDefault="00000000">
      <w:pPr>
        <w:pStyle w:val="3"/>
      </w:pPr>
      <w:r>
        <w:t>Artifact Examples and Failure Cases</w:t>
      </w:r>
    </w:p>
    <w:p w14:paraId="44E7B81C" w14:textId="77777777" w:rsidR="00701A41" w:rsidRDefault="00000000">
      <w:r>
        <w:t xml:space="preserve">To complement aggregate statistics, the revision should also include artifact-level examples and representative failure cases. In successful AIPad-Full sessions, we expect to show how active blocks and carried-over summaries help the system continue a local conceptual thread, leading to denser causal chains, cleaner synthesis regions, and fewer copy-rewrite insertions </w:t>
      </w:r>
      <w:r>
        <w:rPr>
          <w:highlight w:val="yellow"/>
        </w:rPr>
        <w:t xml:space="preserve">[INSERT artifact example reference and </w:t>
      </w:r>
      <w:r>
        <w:rPr>
          <w:highlight w:val="yellow"/>
        </w:rPr>
        <w:t>annotation]</w:t>
      </w:r>
      <w:r>
        <w:t xml:space="preserve">. By contrast, NoGraph examples should highlight cases in which the system remains locally fluent but loses earlier semantic framing, producing more generic additions that require local repair </w:t>
      </w:r>
      <w:r>
        <w:rPr>
          <w:highlight w:val="yellow"/>
        </w:rPr>
        <w:t>[INSERT NoGraph example reference]</w:t>
      </w:r>
      <w:r>
        <w:t xml:space="preserve">. External Chat examples should illustrate why breadth can be strong while continuity suffers: broad external explanations often need substantial rewriting before they fit the page </w:t>
      </w:r>
      <w:r>
        <w:rPr>
          <w:highlight w:val="yellow"/>
        </w:rPr>
        <w:t>[INSERT External-Chat example reference]</w:t>
      </w:r>
      <w:r>
        <w:t xml:space="preserve">. Finally, the failure analysis should document when graph carry-over over-stabilizes early structure or when diagram-heavy regions remain under-grouped, together with the corresponding graph snapshots or planner logs </w:t>
      </w:r>
      <w:r>
        <w:rPr>
          <w:highlight w:val="yellow"/>
        </w:rPr>
        <w:t>[INSERT failure-case counts or representative examples]</w:t>
      </w:r>
      <w:r>
        <w:t>.</w:t>
      </w:r>
    </w:p>
    <w:p w14:paraId="088EF134" w14:textId="77777777" w:rsidR="00701A41" w:rsidRDefault="00000000">
      <w:pPr>
        <w:pStyle w:val="a5"/>
      </w:pPr>
      <w:r>
        <w:t>Figure 5. Placeholder for artifact-level examples and failure cases.</w:t>
      </w:r>
    </w:p>
    <w:tbl>
      <w:tblPr>
        <w:tblW w:w="0" w:type="auto"/>
        <w:tblLook w:val="04A0" w:firstRow="1" w:lastRow="0" w:firstColumn="1" w:lastColumn="0" w:noHBand="0" w:noVBand="1"/>
      </w:tblPr>
      <w:tblGrid>
        <w:gridCol w:w="4824"/>
      </w:tblGrid>
      <w:tr w:rsidR="00701A41" w14:paraId="0A0196FD" w14:textId="77777777" w:rsidTr="00636FE3">
        <w:tc>
          <w:tcPr>
            <w:tcW w:w="4824" w:type="dxa"/>
          </w:tcPr>
          <w:p w14:paraId="6EC801FF" w14:textId="77777777" w:rsidR="00701A41" w:rsidRDefault="00000000">
            <w:pPr>
              <w:jc w:val="center"/>
            </w:pPr>
            <w:r>
              <w:t>[Figure Placeholder]</w:t>
            </w:r>
            <w:r>
              <w:br/>
              <w:t>Panel A: AIPad-Full artifact showing continuity and synthesis improvement.</w:t>
            </w:r>
            <w:r>
              <w:br/>
              <w:t>Panel B: AIPad-NoGraph artifact showing loss of earlier local framing.</w:t>
            </w:r>
            <w:r>
              <w:br/>
              <w:t>Panel C: External Chat artifact showing breadth gain but heavy local rewrite.</w:t>
            </w:r>
            <w:r>
              <w:br/>
              <w:t>Panel D: Failure case with graph snapshot / planner log illustrating over-solidification or under-grouping.</w:t>
            </w:r>
          </w:p>
        </w:tc>
      </w:tr>
    </w:tbl>
    <w:p w14:paraId="7A0A2B6B" w14:textId="77777777" w:rsidR="00701A41" w:rsidRDefault="00000000">
      <w:pPr>
        <w:pStyle w:val="2"/>
      </w:pPr>
      <w:r>
        <w:t>Main Findings</w:t>
      </w:r>
    </w:p>
    <w:p w14:paraId="73309AF5" w14:textId="77777777" w:rsidR="00701A41" w:rsidRDefault="00000000">
      <w:r>
        <w:t xml:space="preserve">Finding 1: Keeping AI in place reduces interruption and encourages more continuous collaboration. Across the planned contrasts, both in-canvas conditions reduced interruption relative to External Chat, and AIPad-Full most strongly translated this advantage into higher invoke frequency, higher straight-use, and lower local rewrite burden </w:t>
      </w:r>
      <w:r>
        <w:rPr>
          <w:highlight w:val="yellow"/>
        </w:rPr>
        <w:t>[INSERT summary statistics / effect sizes]</w:t>
      </w:r>
      <w:r>
        <w:t>.</w:t>
      </w:r>
    </w:p>
    <w:p w14:paraId="2AB5A935" w14:textId="77777777" w:rsidR="00701A41" w:rsidRDefault="00000000">
      <w:r>
        <w:t xml:space="preserve">Finding 2: Maintained workspace memory reduces context re-specification burden rather than merely adding more context. Relative to NoGraph, AIPad-Full achieved better perceived payload fit and stronger downstream note quality under a substantially smaller prompt budget </w:t>
      </w:r>
      <w:r>
        <w:rPr>
          <w:highlight w:val="yellow"/>
        </w:rPr>
        <w:t>[INSERT summary statistics / effect sizes]</w:t>
      </w:r>
      <w:r>
        <w:t>.</w:t>
      </w:r>
    </w:p>
    <w:p w14:paraId="16292801" w14:textId="77777777" w:rsidR="00701A41" w:rsidRDefault="00000000">
      <w:r>
        <w:t xml:space="preserve">Finding 3: Better note artifacts emerge downstream when both interaction and context stay in place. The strongest gains appeared in organization, depth, continuity, and later-review usefulness, whereas breadth remained a relative strength of External Chat </w:t>
      </w:r>
      <w:r>
        <w:rPr>
          <w:highlight w:val="yellow"/>
        </w:rPr>
        <w:t>[INSERT artifact-quality summary contrasts]</w:t>
      </w:r>
      <w:r>
        <w:t>.</w:t>
      </w:r>
    </w:p>
    <w:p w14:paraId="43F0685C" w14:textId="77777777" w:rsidR="00701A41" w:rsidRDefault="00000000">
      <w:r>
        <w:t>Taken together, the descriptive means in Table 4, the inferential analyses to be inserted in Table 5, and the participant-level / artifact-level figures in Figures 4–5 are intended to turn the controlled study from a collection of plausible trends into a mechanism-level evidence chain for flow preservation and context carry-over.</w:t>
      </w:r>
    </w:p>
    <w:tbl>
      <w:tblPr>
        <w:tblpPr w:leftFromText="180" w:rightFromText="180" w:vertAnchor="text" w:horzAnchor="margin" w:tblpY="110"/>
        <w:tblW w:w="10025" w:type="dxa"/>
        <w:tblBorders>
          <w:top w:val="single" w:sz="6" w:space="0" w:color="auto"/>
          <w:bottom w:val="single" w:sz="6" w:space="0" w:color="auto"/>
        </w:tblBorders>
        <w:tblLook w:val="04A0" w:firstRow="1" w:lastRow="0" w:firstColumn="1" w:lastColumn="0" w:noHBand="0" w:noVBand="1"/>
      </w:tblPr>
      <w:tblGrid>
        <w:gridCol w:w="4513"/>
        <w:gridCol w:w="1582"/>
        <w:gridCol w:w="1935"/>
        <w:gridCol w:w="1995"/>
      </w:tblGrid>
      <w:tr w:rsidR="00636FE3" w14:paraId="1782AF55" w14:textId="77777777" w:rsidTr="00636FE3">
        <w:trPr>
          <w:trHeight w:val="299"/>
        </w:trPr>
        <w:tc>
          <w:tcPr>
            <w:tcW w:w="2251" w:type="pct"/>
            <w:tcBorders>
              <w:top w:val="single" w:sz="18" w:space="0" w:color="auto"/>
              <w:bottom w:val="single" w:sz="6" w:space="0" w:color="auto"/>
            </w:tcBorders>
            <w:shd w:val="clear" w:color="auto" w:fill="EDEDED"/>
            <w:tcMar>
              <w:top w:w="80" w:type="dxa"/>
              <w:left w:w="100" w:type="dxa"/>
              <w:bottom w:w="80" w:type="dxa"/>
              <w:right w:w="100" w:type="dxa"/>
            </w:tcMar>
            <w:vAlign w:val="center"/>
          </w:tcPr>
          <w:p w14:paraId="573AB740" w14:textId="77777777" w:rsidR="00636FE3" w:rsidRDefault="00636FE3" w:rsidP="00636FE3">
            <w:pPr>
              <w:spacing w:after="0"/>
              <w:jc w:val="left"/>
            </w:pPr>
            <w:r>
              <w:rPr>
                <w:b/>
                <w:sz w:val="18"/>
              </w:rPr>
              <w:lastRenderedPageBreak/>
              <w:t>Metric</w:t>
            </w:r>
          </w:p>
        </w:tc>
        <w:tc>
          <w:tcPr>
            <w:tcW w:w="789" w:type="pct"/>
            <w:tcBorders>
              <w:top w:val="single" w:sz="18" w:space="0" w:color="auto"/>
              <w:bottom w:val="single" w:sz="6" w:space="0" w:color="auto"/>
            </w:tcBorders>
            <w:shd w:val="clear" w:color="auto" w:fill="FFFFFF" w:themeFill="background1"/>
            <w:tcMar>
              <w:top w:w="80" w:type="dxa"/>
              <w:left w:w="100" w:type="dxa"/>
              <w:bottom w:w="80" w:type="dxa"/>
              <w:right w:w="100" w:type="dxa"/>
            </w:tcMar>
            <w:vAlign w:val="center"/>
          </w:tcPr>
          <w:p w14:paraId="0294FE13" w14:textId="77777777" w:rsidR="00636FE3" w:rsidRDefault="00636FE3" w:rsidP="00636FE3">
            <w:pPr>
              <w:spacing w:after="0"/>
              <w:jc w:val="center"/>
            </w:pPr>
            <w:r>
              <w:rPr>
                <w:b/>
                <w:sz w:val="18"/>
              </w:rPr>
              <w:t>AIPad-Full</w:t>
            </w:r>
          </w:p>
        </w:tc>
        <w:tc>
          <w:tcPr>
            <w:tcW w:w="965" w:type="pct"/>
            <w:tcBorders>
              <w:top w:val="single" w:sz="18" w:space="0" w:color="auto"/>
              <w:bottom w:val="single" w:sz="6" w:space="0" w:color="auto"/>
            </w:tcBorders>
            <w:tcMar>
              <w:top w:w="80" w:type="dxa"/>
              <w:left w:w="100" w:type="dxa"/>
              <w:bottom w:w="80" w:type="dxa"/>
              <w:right w:w="100" w:type="dxa"/>
            </w:tcMar>
            <w:vAlign w:val="center"/>
          </w:tcPr>
          <w:p w14:paraId="28E3E0FE" w14:textId="77777777" w:rsidR="00636FE3" w:rsidRDefault="00636FE3" w:rsidP="00636FE3">
            <w:pPr>
              <w:spacing w:after="0"/>
              <w:jc w:val="center"/>
            </w:pPr>
            <w:r>
              <w:rPr>
                <w:b/>
                <w:sz w:val="18"/>
              </w:rPr>
              <w:t>AIPad-NoGraph</w:t>
            </w:r>
          </w:p>
        </w:tc>
        <w:tc>
          <w:tcPr>
            <w:tcW w:w="995" w:type="pct"/>
            <w:tcBorders>
              <w:top w:val="single" w:sz="18" w:space="0" w:color="auto"/>
              <w:bottom w:val="single" w:sz="6" w:space="0" w:color="auto"/>
            </w:tcBorders>
            <w:tcMar>
              <w:top w:w="80" w:type="dxa"/>
              <w:left w:w="100" w:type="dxa"/>
              <w:bottom w:w="80" w:type="dxa"/>
              <w:right w:w="100" w:type="dxa"/>
            </w:tcMar>
            <w:vAlign w:val="center"/>
          </w:tcPr>
          <w:p w14:paraId="493B2BB2" w14:textId="77777777" w:rsidR="00636FE3" w:rsidRDefault="00636FE3" w:rsidP="00636FE3">
            <w:pPr>
              <w:spacing w:after="0"/>
              <w:jc w:val="center"/>
              <w:rPr>
                <w:rFonts w:eastAsia="宋体"/>
                <w:b/>
                <w:sz w:val="18"/>
                <w:lang w:eastAsia="zh-CN"/>
              </w:rPr>
            </w:pPr>
            <w:r>
              <w:rPr>
                <w:b/>
                <w:sz w:val="18"/>
              </w:rPr>
              <w:t>Canvas +</w:t>
            </w:r>
          </w:p>
          <w:p w14:paraId="7E0817B6" w14:textId="77777777" w:rsidR="00636FE3" w:rsidRDefault="00636FE3" w:rsidP="00636FE3">
            <w:pPr>
              <w:spacing w:after="0"/>
              <w:jc w:val="center"/>
            </w:pPr>
            <w:r>
              <w:rPr>
                <w:b/>
                <w:sz w:val="18"/>
              </w:rPr>
              <w:t xml:space="preserve"> External Chat</w:t>
            </w:r>
          </w:p>
        </w:tc>
      </w:tr>
      <w:tr w:rsidR="00636FE3" w14:paraId="77741428" w14:textId="77777777" w:rsidTr="00636FE3">
        <w:tc>
          <w:tcPr>
            <w:tcW w:w="2251" w:type="pct"/>
            <w:vAlign w:val="center"/>
          </w:tcPr>
          <w:p w14:paraId="0B8D206E" w14:textId="77777777" w:rsidR="00636FE3" w:rsidRDefault="00636FE3" w:rsidP="00636FE3">
            <w:pPr>
              <w:spacing w:beforeLines="50" w:before="120"/>
              <w:jc w:val="left"/>
            </w:pPr>
            <w:r>
              <w:rPr>
                <w:rFonts w:eastAsia="等线"/>
                <w:color w:val="000000"/>
                <w:sz w:val="17"/>
                <w:szCs w:val="17"/>
              </w:rPr>
              <w:t>Visual Organization</w:t>
            </w:r>
          </w:p>
        </w:tc>
        <w:tc>
          <w:tcPr>
            <w:tcW w:w="789" w:type="pct"/>
            <w:vAlign w:val="center"/>
          </w:tcPr>
          <w:p w14:paraId="4021D98D" w14:textId="77777777" w:rsidR="00636FE3" w:rsidRDefault="00636FE3" w:rsidP="00636FE3">
            <w:pPr>
              <w:spacing w:beforeLines="50" w:before="120"/>
              <w:jc w:val="center"/>
            </w:pPr>
            <w:r>
              <w:rPr>
                <w:rFonts w:eastAsia="等线"/>
                <w:color w:val="000000"/>
                <w:sz w:val="17"/>
                <w:szCs w:val="17"/>
              </w:rPr>
              <w:t>9.1</w:t>
            </w:r>
          </w:p>
        </w:tc>
        <w:tc>
          <w:tcPr>
            <w:tcW w:w="965" w:type="pct"/>
            <w:vAlign w:val="center"/>
          </w:tcPr>
          <w:p w14:paraId="6DA3DBE6" w14:textId="77777777" w:rsidR="00636FE3" w:rsidRDefault="00636FE3" w:rsidP="00636FE3">
            <w:pPr>
              <w:spacing w:beforeLines="50" w:before="120"/>
              <w:jc w:val="center"/>
            </w:pPr>
            <w:r>
              <w:rPr>
                <w:rFonts w:eastAsia="等线"/>
                <w:color w:val="000000"/>
                <w:sz w:val="17"/>
                <w:szCs w:val="17"/>
              </w:rPr>
              <w:t>8.3</w:t>
            </w:r>
          </w:p>
        </w:tc>
        <w:tc>
          <w:tcPr>
            <w:tcW w:w="995" w:type="pct"/>
            <w:vAlign w:val="center"/>
          </w:tcPr>
          <w:p w14:paraId="4237F30D" w14:textId="77777777" w:rsidR="00636FE3" w:rsidRDefault="00636FE3" w:rsidP="00636FE3">
            <w:pPr>
              <w:spacing w:beforeLines="50" w:before="120"/>
              <w:jc w:val="center"/>
            </w:pPr>
            <w:r>
              <w:rPr>
                <w:rFonts w:eastAsia="等线"/>
                <w:color w:val="000000"/>
                <w:sz w:val="17"/>
                <w:szCs w:val="17"/>
              </w:rPr>
              <w:t>7.4</w:t>
            </w:r>
          </w:p>
        </w:tc>
      </w:tr>
      <w:tr w:rsidR="00636FE3" w14:paraId="57DA88F9" w14:textId="77777777" w:rsidTr="00636FE3">
        <w:tc>
          <w:tcPr>
            <w:tcW w:w="2251" w:type="pct"/>
            <w:vAlign w:val="center"/>
          </w:tcPr>
          <w:p w14:paraId="3B364BF3" w14:textId="77777777" w:rsidR="00636FE3" w:rsidRDefault="00636FE3" w:rsidP="00636FE3">
            <w:pPr>
              <w:jc w:val="left"/>
              <w:rPr>
                <w:rFonts w:eastAsia="等线"/>
                <w:color w:val="000000"/>
                <w:sz w:val="17"/>
                <w:szCs w:val="17"/>
              </w:rPr>
            </w:pPr>
            <w:r>
              <w:rPr>
                <w:rFonts w:eastAsia="等线"/>
                <w:color w:val="000000"/>
                <w:sz w:val="17"/>
                <w:szCs w:val="17"/>
              </w:rPr>
              <w:t>Depth of Understanding</w:t>
            </w:r>
          </w:p>
        </w:tc>
        <w:tc>
          <w:tcPr>
            <w:tcW w:w="789" w:type="pct"/>
            <w:vAlign w:val="center"/>
          </w:tcPr>
          <w:p w14:paraId="2D0C8837" w14:textId="77777777" w:rsidR="00636FE3" w:rsidRDefault="00636FE3" w:rsidP="00636FE3">
            <w:pPr>
              <w:jc w:val="center"/>
              <w:rPr>
                <w:rFonts w:eastAsia="等线"/>
                <w:color w:val="000000"/>
                <w:sz w:val="17"/>
                <w:szCs w:val="17"/>
              </w:rPr>
            </w:pPr>
            <w:r>
              <w:rPr>
                <w:rFonts w:eastAsia="等线"/>
                <w:color w:val="000000"/>
                <w:sz w:val="17"/>
                <w:szCs w:val="17"/>
              </w:rPr>
              <w:t>8.6</w:t>
            </w:r>
          </w:p>
        </w:tc>
        <w:tc>
          <w:tcPr>
            <w:tcW w:w="965" w:type="pct"/>
            <w:vAlign w:val="center"/>
          </w:tcPr>
          <w:p w14:paraId="54D25EC6" w14:textId="77777777" w:rsidR="00636FE3" w:rsidRDefault="00636FE3" w:rsidP="00636FE3">
            <w:pPr>
              <w:jc w:val="center"/>
              <w:rPr>
                <w:rFonts w:eastAsia="等线"/>
                <w:color w:val="000000"/>
                <w:sz w:val="17"/>
                <w:szCs w:val="17"/>
              </w:rPr>
            </w:pPr>
            <w:r>
              <w:rPr>
                <w:rFonts w:eastAsia="等线"/>
                <w:color w:val="000000"/>
                <w:sz w:val="17"/>
                <w:szCs w:val="17"/>
              </w:rPr>
              <w:t>7.7</w:t>
            </w:r>
          </w:p>
        </w:tc>
        <w:tc>
          <w:tcPr>
            <w:tcW w:w="995" w:type="pct"/>
            <w:vAlign w:val="center"/>
          </w:tcPr>
          <w:p w14:paraId="258AC5FF" w14:textId="77777777" w:rsidR="00636FE3" w:rsidRDefault="00636FE3" w:rsidP="00636FE3">
            <w:pPr>
              <w:jc w:val="center"/>
              <w:rPr>
                <w:rFonts w:eastAsia="等线"/>
                <w:color w:val="000000"/>
                <w:sz w:val="17"/>
                <w:szCs w:val="17"/>
              </w:rPr>
            </w:pPr>
            <w:r>
              <w:rPr>
                <w:rFonts w:eastAsia="等线"/>
                <w:color w:val="000000"/>
                <w:sz w:val="17"/>
                <w:szCs w:val="17"/>
              </w:rPr>
              <w:t>8.2</w:t>
            </w:r>
          </w:p>
        </w:tc>
      </w:tr>
      <w:tr w:rsidR="00636FE3" w14:paraId="5E326879" w14:textId="77777777" w:rsidTr="00636FE3">
        <w:tc>
          <w:tcPr>
            <w:tcW w:w="2251" w:type="pct"/>
            <w:vAlign w:val="center"/>
          </w:tcPr>
          <w:p w14:paraId="75C5A147" w14:textId="77777777" w:rsidR="00636FE3" w:rsidRDefault="00636FE3" w:rsidP="00636FE3">
            <w:pPr>
              <w:jc w:val="left"/>
              <w:rPr>
                <w:rFonts w:eastAsia="等线"/>
                <w:color w:val="000000"/>
                <w:sz w:val="17"/>
                <w:szCs w:val="17"/>
              </w:rPr>
            </w:pPr>
            <w:r>
              <w:rPr>
                <w:rFonts w:eastAsia="等线"/>
                <w:color w:val="000000"/>
                <w:sz w:val="17"/>
                <w:szCs w:val="17"/>
              </w:rPr>
              <w:t>Breadth / Coverage</w:t>
            </w:r>
          </w:p>
        </w:tc>
        <w:tc>
          <w:tcPr>
            <w:tcW w:w="789" w:type="pct"/>
            <w:vAlign w:val="center"/>
          </w:tcPr>
          <w:p w14:paraId="39C9256B" w14:textId="77777777" w:rsidR="00636FE3" w:rsidRDefault="00636FE3" w:rsidP="00636FE3">
            <w:pPr>
              <w:jc w:val="center"/>
              <w:rPr>
                <w:rFonts w:eastAsia="等线"/>
                <w:color w:val="000000"/>
                <w:sz w:val="17"/>
                <w:szCs w:val="17"/>
              </w:rPr>
            </w:pPr>
            <w:r>
              <w:rPr>
                <w:rFonts w:eastAsia="等线"/>
                <w:color w:val="000000"/>
                <w:sz w:val="17"/>
                <w:szCs w:val="17"/>
              </w:rPr>
              <w:t>8.3</w:t>
            </w:r>
          </w:p>
        </w:tc>
        <w:tc>
          <w:tcPr>
            <w:tcW w:w="965" w:type="pct"/>
            <w:vAlign w:val="center"/>
          </w:tcPr>
          <w:p w14:paraId="74AD40D3" w14:textId="77777777" w:rsidR="00636FE3" w:rsidRDefault="00636FE3" w:rsidP="00636FE3">
            <w:pPr>
              <w:jc w:val="center"/>
              <w:rPr>
                <w:rFonts w:eastAsia="等线"/>
                <w:color w:val="000000"/>
                <w:sz w:val="17"/>
                <w:szCs w:val="17"/>
              </w:rPr>
            </w:pPr>
            <w:r>
              <w:rPr>
                <w:rFonts w:eastAsia="等线"/>
                <w:color w:val="000000"/>
                <w:sz w:val="17"/>
                <w:szCs w:val="17"/>
              </w:rPr>
              <w:t>7.3</w:t>
            </w:r>
          </w:p>
        </w:tc>
        <w:tc>
          <w:tcPr>
            <w:tcW w:w="995" w:type="pct"/>
            <w:vAlign w:val="center"/>
          </w:tcPr>
          <w:p w14:paraId="359CDF61" w14:textId="77777777" w:rsidR="00636FE3" w:rsidRDefault="00636FE3" w:rsidP="00636FE3">
            <w:pPr>
              <w:jc w:val="center"/>
              <w:rPr>
                <w:rFonts w:eastAsia="等线"/>
                <w:color w:val="000000"/>
                <w:sz w:val="17"/>
                <w:szCs w:val="17"/>
              </w:rPr>
            </w:pPr>
            <w:r>
              <w:rPr>
                <w:rFonts w:eastAsia="等线"/>
                <w:color w:val="000000"/>
                <w:sz w:val="17"/>
                <w:szCs w:val="17"/>
              </w:rPr>
              <w:t>8.5</w:t>
            </w:r>
          </w:p>
        </w:tc>
      </w:tr>
      <w:tr w:rsidR="00636FE3" w14:paraId="175B8287" w14:textId="77777777" w:rsidTr="00636FE3">
        <w:tc>
          <w:tcPr>
            <w:tcW w:w="2251" w:type="pct"/>
            <w:vAlign w:val="center"/>
          </w:tcPr>
          <w:p w14:paraId="4EDEDACC" w14:textId="77777777" w:rsidR="00636FE3" w:rsidRDefault="00636FE3" w:rsidP="00636FE3">
            <w:pPr>
              <w:jc w:val="left"/>
              <w:rPr>
                <w:rFonts w:eastAsia="等线"/>
                <w:color w:val="000000"/>
                <w:sz w:val="17"/>
                <w:szCs w:val="17"/>
              </w:rPr>
            </w:pPr>
            <w:r>
              <w:rPr>
                <w:rFonts w:eastAsia="等线"/>
                <w:color w:val="000000"/>
                <w:sz w:val="17"/>
                <w:szCs w:val="17"/>
              </w:rPr>
              <w:t>Continuity / Coherence</w:t>
            </w:r>
          </w:p>
        </w:tc>
        <w:tc>
          <w:tcPr>
            <w:tcW w:w="789" w:type="pct"/>
            <w:vAlign w:val="center"/>
          </w:tcPr>
          <w:p w14:paraId="567CB314" w14:textId="77777777" w:rsidR="00636FE3" w:rsidRDefault="00636FE3" w:rsidP="00636FE3">
            <w:pPr>
              <w:jc w:val="center"/>
              <w:rPr>
                <w:rFonts w:eastAsia="等线"/>
                <w:color w:val="000000"/>
                <w:sz w:val="17"/>
                <w:szCs w:val="17"/>
              </w:rPr>
            </w:pPr>
            <w:r>
              <w:rPr>
                <w:rFonts w:eastAsia="等线"/>
                <w:color w:val="000000"/>
                <w:sz w:val="17"/>
                <w:szCs w:val="17"/>
              </w:rPr>
              <w:t>7.5</w:t>
            </w:r>
          </w:p>
        </w:tc>
        <w:tc>
          <w:tcPr>
            <w:tcW w:w="965" w:type="pct"/>
            <w:vAlign w:val="center"/>
          </w:tcPr>
          <w:p w14:paraId="08EEE07C" w14:textId="77777777" w:rsidR="00636FE3" w:rsidRDefault="00636FE3" w:rsidP="00636FE3">
            <w:pPr>
              <w:jc w:val="center"/>
              <w:rPr>
                <w:rFonts w:eastAsia="等线"/>
                <w:color w:val="000000"/>
                <w:sz w:val="17"/>
                <w:szCs w:val="17"/>
              </w:rPr>
            </w:pPr>
            <w:r>
              <w:rPr>
                <w:rFonts w:eastAsia="等线"/>
                <w:color w:val="000000"/>
                <w:sz w:val="17"/>
                <w:szCs w:val="17"/>
              </w:rPr>
              <w:t>7.3</w:t>
            </w:r>
          </w:p>
        </w:tc>
        <w:tc>
          <w:tcPr>
            <w:tcW w:w="995" w:type="pct"/>
            <w:vAlign w:val="center"/>
          </w:tcPr>
          <w:p w14:paraId="4F269CD5" w14:textId="77777777" w:rsidR="00636FE3" w:rsidRDefault="00636FE3" w:rsidP="00636FE3">
            <w:pPr>
              <w:jc w:val="center"/>
              <w:rPr>
                <w:rFonts w:eastAsia="等线"/>
                <w:color w:val="000000"/>
                <w:sz w:val="17"/>
                <w:szCs w:val="17"/>
              </w:rPr>
            </w:pPr>
            <w:r>
              <w:rPr>
                <w:rFonts w:eastAsia="等线"/>
                <w:color w:val="000000"/>
                <w:sz w:val="17"/>
                <w:szCs w:val="17"/>
              </w:rPr>
              <w:t>5.8</w:t>
            </w:r>
          </w:p>
        </w:tc>
      </w:tr>
      <w:tr w:rsidR="00636FE3" w14:paraId="247F453D" w14:textId="77777777" w:rsidTr="00636FE3">
        <w:tc>
          <w:tcPr>
            <w:tcW w:w="2251" w:type="pct"/>
            <w:vAlign w:val="center"/>
          </w:tcPr>
          <w:p w14:paraId="2CAB4525" w14:textId="77777777" w:rsidR="00636FE3" w:rsidRDefault="00636FE3" w:rsidP="00636FE3">
            <w:pPr>
              <w:jc w:val="left"/>
              <w:rPr>
                <w:rFonts w:eastAsia="等线"/>
                <w:color w:val="000000"/>
                <w:sz w:val="17"/>
                <w:szCs w:val="17"/>
              </w:rPr>
            </w:pPr>
            <w:r>
              <w:rPr>
                <w:rFonts w:eastAsia="等线"/>
                <w:color w:val="000000"/>
                <w:sz w:val="17"/>
                <w:szCs w:val="17"/>
              </w:rPr>
              <w:t>Overall Usefulness for Later Review</w:t>
            </w:r>
          </w:p>
        </w:tc>
        <w:tc>
          <w:tcPr>
            <w:tcW w:w="789" w:type="pct"/>
            <w:vAlign w:val="center"/>
          </w:tcPr>
          <w:p w14:paraId="41885696" w14:textId="77777777" w:rsidR="00636FE3" w:rsidRDefault="00636FE3" w:rsidP="00636FE3">
            <w:pPr>
              <w:jc w:val="center"/>
              <w:rPr>
                <w:rFonts w:eastAsia="等线"/>
                <w:color w:val="000000"/>
                <w:sz w:val="17"/>
                <w:szCs w:val="17"/>
              </w:rPr>
            </w:pPr>
            <w:r>
              <w:rPr>
                <w:rFonts w:eastAsia="等线"/>
                <w:color w:val="000000"/>
                <w:sz w:val="17"/>
                <w:szCs w:val="17"/>
              </w:rPr>
              <w:t>8.4</w:t>
            </w:r>
          </w:p>
        </w:tc>
        <w:tc>
          <w:tcPr>
            <w:tcW w:w="965" w:type="pct"/>
            <w:vAlign w:val="center"/>
          </w:tcPr>
          <w:p w14:paraId="266E9089" w14:textId="77777777" w:rsidR="00636FE3" w:rsidRDefault="00636FE3" w:rsidP="00636FE3">
            <w:pPr>
              <w:jc w:val="center"/>
              <w:rPr>
                <w:rFonts w:eastAsia="等线"/>
                <w:color w:val="000000"/>
                <w:sz w:val="17"/>
                <w:szCs w:val="17"/>
              </w:rPr>
            </w:pPr>
            <w:r>
              <w:rPr>
                <w:rFonts w:eastAsia="等线"/>
                <w:color w:val="000000"/>
                <w:sz w:val="17"/>
                <w:szCs w:val="17"/>
              </w:rPr>
              <w:t>7.6</w:t>
            </w:r>
          </w:p>
        </w:tc>
        <w:tc>
          <w:tcPr>
            <w:tcW w:w="995" w:type="pct"/>
            <w:vAlign w:val="center"/>
          </w:tcPr>
          <w:p w14:paraId="7AAB9BA7" w14:textId="77777777" w:rsidR="00636FE3" w:rsidRDefault="00636FE3" w:rsidP="00636FE3">
            <w:pPr>
              <w:jc w:val="center"/>
              <w:rPr>
                <w:rFonts w:eastAsia="等线"/>
                <w:color w:val="000000"/>
                <w:sz w:val="17"/>
                <w:szCs w:val="17"/>
              </w:rPr>
            </w:pPr>
            <w:r>
              <w:rPr>
                <w:rFonts w:eastAsia="等线"/>
                <w:color w:val="000000"/>
                <w:sz w:val="17"/>
                <w:szCs w:val="17"/>
              </w:rPr>
              <w:t>8.1</w:t>
            </w:r>
          </w:p>
        </w:tc>
      </w:tr>
      <w:tr w:rsidR="00636FE3" w14:paraId="64D30A97" w14:textId="77777777" w:rsidTr="00636FE3">
        <w:tc>
          <w:tcPr>
            <w:tcW w:w="2251" w:type="pct"/>
            <w:vAlign w:val="center"/>
          </w:tcPr>
          <w:p w14:paraId="418FFA78" w14:textId="77777777" w:rsidR="00636FE3" w:rsidRDefault="00636FE3" w:rsidP="00636FE3">
            <w:pPr>
              <w:jc w:val="left"/>
              <w:rPr>
                <w:rFonts w:eastAsia="等线"/>
                <w:color w:val="000000"/>
                <w:sz w:val="17"/>
                <w:szCs w:val="17"/>
              </w:rPr>
            </w:pPr>
            <w:r>
              <w:rPr>
                <w:rFonts w:eastAsia="等线"/>
                <w:color w:val="000000"/>
                <w:sz w:val="17"/>
                <w:szCs w:val="17"/>
              </w:rPr>
              <w:t>AI Invoke Times</w:t>
            </w:r>
          </w:p>
        </w:tc>
        <w:tc>
          <w:tcPr>
            <w:tcW w:w="789" w:type="pct"/>
            <w:vAlign w:val="center"/>
          </w:tcPr>
          <w:p w14:paraId="4B88A81B" w14:textId="77777777" w:rsidR="00636FE3" w:rsidRDefault="00636FE3" w:rsidP="00636FE3">
            <w:pPr>
              <w:jc w:val="center"/>
              <w:rPr>
                <w:rFonts w:eastAsia="等线"/>
                <w:color w:val="000000"/>
                <w:sz w:val="17"/>
                <w:szCs w:val="17"/>
              </w:rPr>
            </w:pPr>
            <w:r>
              <w:rPr>
                <w:rFonts w:eastAsia="等线"/>
                <w:color w:val="000000"/>
                <w:sz w:val="17"/>
                <w:szCs w:val="17"/>
              </w:rPr>
              <w:t>67.7</w:t>
            </w:r>
          </w:p>
        </w:tc>
        <w:tc>
          <w:tcPr>
            <w:tcW w:w="965" w:type="pct"/>
            <w:vAlign w:val="center"/>
          </w:tcPr>
          <w:p w14:paraId="54A5FDD5" w14:textId="77777777" w:rsidR="00636FE3" w:rsidRDefault="00636FE3" w:rsidP="00636FE3">
            <w:pPr>
              <w:jc w:val="center"/>
              <w:rPr>
                <w:rFonts w:eastAsia="等线"/>
                <w:color w:val="000000"/>
                <w:sz w:val="17"/>
                <w:szCs w:val="17"/>
              </w:rPr>
            </w:pPr>
            <w:r>
              <w:rPr>
                <w:rFonts w:eastAsia="等线"/>
                <w:color w:val="000000"/>
                <w:sz w:val="17"/>
                <w:szCs w:val="17"/>
              </w:rPr>
              <w:t>36.5</w:t>
            </w:r>
          </w:p>
        </w:tc>
        <w:tc>
          <w:tcPr>
            <w:tcW w:w="995" w:type="pct"/>
            <w:vAlign w:val="center"/>
          </w:tcPr>
          <w:p w14:paraId="7F07AF0A" w14:textId="77777777" w:rsidR="00636FE3" w:rsidRDefault="00636FE3" w:rsidP="00636FE3">
            <w:pPr>
              <w:jc w:val="center"/>
              <w:rPr>
                <w:rFonts w:eastAsia="等线"/>
                <w:color w:val="000000"/>
                <w:sz w:val="17"/>
                <w:szCs w:val="17"/>
              </w:rPr>
            </w:pPr>
            <w:r>
              <w:rPr>
                <w:rFonts w:eastAsia="等线"/>
                <w:color w:val="000000"/>
                <w:sz w:val="17"/>
                <w:szCs w:val="17"/>
              </w:rPr>
              <w:t>17.2</w:t>
            </w:r>
          </w:p>
        </w:tc>
      </w:tr>
      <w:tr w:rsidR="00636FE3" w14:paraId="44BDA4C8" w14:textId="77777777" w:rsidTr="00636FE3">
        <w:tc>
          <w:tcPr>
            <w:tcW w:w="2251" w:type="pct"/>
            <w:vAlign w:val="center"/>
          </w:tcPr>
          <w:p w14:paraId="0F4A3BB8" w14:textId="77777777" w:rsidR="00636FE3" w:rsidRDefault="00636FE3" w:rsidP="00636FE3">
            <w:pPr>
              <w:jc w:val="left"/>
            </w:pPr>
            <w:r>
              <w:rPr>
                <w:rFonts w:eastAsia="等线"/>
                <w:color w:val="000000"/>
                <w:sz w:val="17"/>
                <w:szCs w:val="17"/>
              </w:rPr>
              <w:t>Suggestion Acceptance Rate</w:t>
            </w:r>
          </w:p>
        </w:tc>
        <w:tc>
          <w:tcPr>
            <w:tcW w:w="789" w:type="pct"/>
            <w:vAlign w:val="center"/>
          </w:tcPr>
          <w:p w14:paraId="2DE1B4CC" w14:textId="77777777" w:rsidR="00636FE3" w:rsidRDefault="00636FE3" w:rsidP="00636FE3">
            <w:pPr>
              <w:jc w:val="center"/>
            </w:pPr>
            <w:r>
              <w:rPr>
                <w:rFonts w:eastAsia="等线"/>
                <w:color w:val="000000"/>
                <w:sz w:val="17"/>
                <w:szCs w:val="17"/>
              </w:rPr>
              <w:t>78%</w:t>
            </w:r>
          </w:p>
        </w:tc>
        <w:tc>
          <w:tcPr>
            <w:tcW w:w="965" w:type="pct"/>
            <w:vAlign w:val="center"/>
          </w:tcPr>
          <w:p w14:paraId="46E1BD5E" w14:textId="77777777" w:rsidR="00636FE3" w:rsidRDefault="00636FE3" w:rsidP="00636FE3">
            <w:pPr>
              <w:jc w:val="center"/>
            </w:pPr>
            <w:r>
              <w:rPr>
                <w:rFonts w:eastAsia="等线"/>
                <w:color w:val="000000"/>
                <w:sz w:val="17"/>
                <w:szCs w:val="17"/>
              </w:rPr>
              <w:t>65%</w:t>
            </w:r>
          </w:p>
        </w:tc>
        <w:tc>
          <w:tcPr>
            <w:tcW w:w="995" w:type="pct"/>
            <w:vAlign w:val="center"/>
          </w:tcPr>
          <w:p w14:paraId="5D2A8F05" w14:textId="77777777" w:rsidR="00636FE3" w:rsidRDefault="00636FE3" w:rsidP="00636FE3">
            <w:pPr>
              <w:jc w:val="center"/>
            </w:pPr>
            <w:r>
              <w:rPr>
                <w:rFonts w:eastAsia="等线"/>
                <w:color w:val="000000"/>
                <w:sz w:val="17"/>
                <w:szCs w:val="17"/>
              </w:rPr>
              <w:t>94%</w:t>
            </w:r>
          </w:p>
        </w:tc>
      </w:tr>
      <w:tr w:rsidR="00636FE3" w14:paraId="06F2B46A" w14:textId="77777777" w:rsidTr="00636FE3">
        <w:tc>
          <w:tcPr>
            <w:tcW w:w="2251" w:type="pct"/>
            <w:vAlign w:val="center"/>
          </w:tcPr>
          <w:p w14:paraId="3A677110" w14:textId="77777777" w:rsidR="00636FE3" w:rsidRDefault="00636FE3" w:rsidP="00636FE3">
            <w:pPr>
              <w:jc w:val="left"/>
            </w:pPr>
            <w:r>
              <w:rPr>
                <w:rFonts w:eastAsia="等线"/>
                <w:color w:val="000000"/>
                <w:sz w:val="17"/>
                <w:szCs w:val="17"/>
              </w:rPr>
              <w:t>Dismiss Rate</w:t>
            </w:r>
          </w:p>
        </w:tc>
        <w:tc>
          <w:tcPr>
            <w:tcW w:w="789" w:type="pct"/>
            <w:vAlign w:val="center"/>
          </w:tcPr>
          <w:p w14:paraId="2D693593" w14:textId="77777777" w:rsidR="00636FE3" w:rsidRDefault="00636FE3" w:rsidP="00636FE3">
            <w:pPr>
              <w:jc w:val="center"/>
            </w:pPr>
            <w:r>
              <w:rPr>
                <w:rFonts w:eastAsia="等线"/>
                <w:color w:val="000000"/>
                <w:sz w:val="17"/>
                <w:szCs w:val="17"/>
              </w:rPr>
              <w:t>22%</w:t>
            </w:r>
          </w:p>
        </w:tc>
        <w:tc>
          <w:tcPr>
            <w:tcW w:w="965" w:type="pct"/>
            <w:vAlign w:val="center"/>
          </w:tcPr>
          <w:p w14:paraId="38391C2C" w14:textId="77777777" w:rsidR="00636FE3" w:rsidRDefault="00636FE3" w:rsidP="00636FE3">
            <w:pPr>
              <w:jc w:val="center"/>
            </w:pPr>
            <w:r>
              <w:rPr>
                <w:rFonts w:eastAsia="等线"/>
                <w:color w:val="000000"/>
                <w:sz w:val="17"/>
                <w:szCs w:val="17"/>
              </w:rPr>
              <w:t>35%</w:t>
            </w:r>
          </w:p>
        </w:tc>
        <w:tc>
          <w:tcPr>
            <w:tcW w:w="995" w:type="pct"/>
            <w:vAlign w:val="center"/>
          </w:tcPr>
          <w:p w14:paraId="01FAA0AD" w14:textId="77777777" w:rsidR="00636FE3" w:rsidRDefault="00636FE3" w:rsidP="00636FE3">
            <w:pPr>
              <w:jc w:val="center"/>
            </w:pPr>
            <w:r>
              <w:rPr>
                <w:rFonts w:eastAsia="等线"/>
                <w:color w:val="000000"/>
                <w:sz w:val="17"/>
                <w:szCs w:val="17"/>
              </w:rPr>
              <w:t>6%</w:t>
            </w:r>
          </w:p>
        </w:tc>
      </w:tr>
      <w:tr w:rsidR="00636FE3" w14:paraId="171ED939" w14:textId="77777777" w:rsidTr="00636FE3">
        <w:tc>
          <w:tcPr>
            <w:tcW w:w="2251" w:type="pct"/>
            <w:vAlign w:val="center"/>
          </w:tcPr>
          <w:p w14:paraId="27FFF664" w14:textId="77777777" w:rsidR="00636FE3" w:rsidRDefault="00636FE3" w:rsidP="00636FE3">
            <w:pPr>
              <w:jc w:val="left"/>
            </w:pPr>
            <w:r>
              <w:rPr>
                <w:rFonts w:eastAsia="等线"/>
                <w:color w:val="000000"/>
                <w:sz w:val="17"/>
                <w:szCs w:val="17"/>
              </w:rPr>
              <w:t>First Accepted Suggestion (Straight Use)</w:t>
            </w:r>
          </w:p>
        </w:tc>
        <w:tc>
          <w:tcPr>
            <w:tcW w:w="789" w:type="pct"/>
            <w:vAlign w:val="center"/>
          </w:tcPr>
          <w:p w14:paraId="219C276C" w14:textId="77777777" w:rsidR="00636FE3" w:rsidRDefault="00636FE3" w:rsidP="00636FE3">
            <w:pPr>
              <w:jc w:val="center"/>
            </w:pPr>
            <w:r>
              <w:rPr>
                <w:rFonts w:eastAsia="等线"/>
                <w:color w:val="000000"/>
                <w:sz w:val="17"/>
                <w:szCs w:val="17"/>
              </w:rPr>
              <w:t>62%</w:t>
            </w:r>
          </w:p>
        </w:tc>
        <w:tc>
          <w:tcPr>
            <w:tcW w:w="965" w:type="pct"/>
            <w:vAlign w:val="center"/>
          </w:tcPr>
          <w:p w14:paraId="7EA1214D" w14:textId="77777777" w:rsidR="00636FE3" w:rsidRDefault="00636FE3" w:rsidP="00636FE3">
            <w:pPr>
              <w:jc w:val="center"/>
            </w:pPr>
            <w:r>
              <w:rPr>
                <w:rFonts w:eastAsia="等线"/>
                <w:color w:val="000000"/>
                <w:sz w:val="17"/>
                <w:szCs w:val="17"/>
              </w:rPr>
              <w:t>51%</w:t>
            </w:r>
          </w:p>
        </w:tc>
        <w:tc>
          <w:tcPr>
            <w:tcW w:w="995" w:type="pct"/>
            <w:vAlign w:val="center"/>
          </w:tcPr>
          <w:p w14:paraId="06877EF9" w14:textId="77777777" w:rsidR="00636FE3" w:rsidRDefault="00636FE3" w:rsidP="00636FE3">
            <w:pPr>
              <w:jc w:val="center"/>
            </w:pPr>
            <w:r>
              <w:rPr>
                <w:rFonts w:eastAsia="等线"/>
                <w:color w:val="000000"/>
                <w:sz w:val="17"/>
                <w:szCs w:val="17"/>
              </w:rPr>
              <w:t>12%</w:t>
            </w:r>
          </w:p>
        </w:tc>
      </w:tr>
      <w:tr w:rsidR="00636FE3" w14:paraId="0217BC2F" w14:textId="77777777" w:rsidTr="00636FE3">
        <w:tc>
          <w:tcPr>
            <w:tcW w:w="2251" w:type="pct"/>
            <w:vAlign w:val="center"/>
          </w:tcPr>
          <w:p w14:paraId="15800D1E" w14:textId="77777777" w:rsidR="00636FE3" w:rsidRDefault="00636FE3" w:rsidP="00636FE3">
            <w:pPr>
              <w:jc w:val="left"/>
            </w:pPr>
            <w:r>
              <w:rPr>
                <w:rFonts w:eastAsia="等线"/>
                <w:color w:val="000000"/>
                <w:sz w:val="17"/>
                <w:szCs w:val="17"/>
              </w:rPr>
              <w:t>User Changed Rate</w:t>
            </w:r>
          </w:p>
        </w:tc>
        <w:tc>
          <w:tcPr>
            <w:tcW w:w="789" w:type="pct"/>
            <w:vAlign w:val="center"/>
          </w:tcPr>
          <w:p w14:paraId="6C83EE38" w14:textId="77777777" w:rsidR="00636FE3" w:rsidRDefault="00636FE3" w:rsidP="00636FE3">
            <w:pPr>
              <w:jc w:val="center"/>
            </w:pPr>
            <w:r>
              <w:rPr>
                <w:rFonts w:eastAsia="等线"/>
                <w:color w:val="000000"/>
                <w:sz w:val="17"/>
                <w:szCs w:val="17"/>
              </w:rPr>
              <w:t>8%</w:t>
            </w:r>
          </w:p>
        </w:tc>
        <w:tc>
          <w:tcPr>
            <w:tcW w:w="965" w:type="pct"/>
            <w:vAlign w:val="center"/>
          </w:tcPr>
          <w:p w14:paraId="1C56CEA3" w14:textId="77777777" w:rsidR="00636FE3" w:rsidRDefault="00636FE3" w:rsidP="00636FE3">
            <w:pPr>
              <w:jc w:val="center"/>
            </w:pPr>
            <w:r>
              <w:rPr>
                <w:rFonts w:eastAsia="等线"/>
                <w:color w:val="000000"/>
                <w:sz w:val="17"/>
                <w:szCs w:val="17"/>
              </w:rPr>
              <w:t>13%</w:t>
            </w:r>
          </w:p>
        </w:tc>
        <w:tc>
          <w:tcPr>
            <w:tcW w:w="995" w:type="pct"/>
            <w:vAlign w:val="center"/>
          </w:tcPr>
          <w:p w14:paraId="4941F318" w14:textId="77777777" w:rsidR="00636FE3" w:rsidRDefault="00636FE3" w:rsidP="00636FE3">
            <w:pPr>
              <w:jc w:val="center"/>
            </w:pPr>
            <w:r>
              <w:rPr>
                <w:rFonts w:eastAsia="等线"/>
                <w:color w:val="000000"/>
                <w:sz w:val="17"/>
                <w:szCs w:val="17"/>
              </w:rPr>
              <w:t>67%</w:t>
            </w:r>
          </w:p>
        </w:tc>
      </w:tr>
      <w:tr w:rsidR="00636FE3" w:rsidRPr="002C17E7" w14:paraId="4C35E48D" w14:textId="77777777" w:rsidTr="00636FE3">
        <w:tc>
          <w:tcPr>
            <w:tcW w:w="2251" w:type="pct"/>
            <w:vAlign w:val="center"/>
          </w:tcPr>
          <w:p w14:paraId="639B1018" w14:textId="77777777" w:rsidR="00636FE3" w:rsidRPr="002C17E7" w:rsidRDefault="00636FE3" w:rsidP="00636FE3">
            <w:pPr>
              <w:jc w:val="left"/>
              <w:rPr>
                <w:sz w:val="17"/>
              </w:rPr>
            </w:pPr>
            <w:r>
              <w:rPr>
                <w:rFonts w:eastAsia="等线"/>
                <w:color w:val="000000"/>
                <w:sz w:val="17"/>
                <w:szCs w:val="17"/>
              </w:rPr>
              <w:t>Prompt Tokens per Round</w:t>
            </w:r>
          </w:p>
        </w:tc>
        <w:tc>
          <w:tcPr>
            <w:tcW w:w="789" w:type="pct"/>
            <w:vAlign w:val="center"/>
          </w:tcPr>
          <w:p w14:paraId="4EC54B53" w14:textId="77777777" w:rsidR="00636FE3" w:rsidRPr="002C17E7" w:rsidRDefault="00636FE3" w:rsidP="00636FE3">
            <w:pPr>
              <w:jc w:val="center"/>
              <w:rPr>
                <w:sz w:val="17"/>
              </w:rPr>
            </w:pPr>
            <w:r>
              <w:rPr>
                <w:rFonts w:eastAsia="等线"/>
                <w:color w:val="000000"/>
                <w:sz w:val="17"/>
                <w:szCs w:val="17"/>
              </w:rPr>
              <w:t>3256</w:t>
            </w:r>
          </w:p>
        </w:tc>
        <w:tc>
          <w:tcPr>
            <w:tcW w:w="965" w:type="pct"/>
            <w:vAlign w:val="center"/>
          </w:tcPr>
          <w:p w14:paraId="01E7A17F" w14:textId="77777777" w:rsidR="00636FE3" w:rsidRPr="002C17E7" w:rsidRDefault="00636FE3" w:rsidP="00636FE3">
            <w:pPr>
              <w:jc w:val="center"/>
              <w:rPr>
                <w:sz w:val="17"/>
              </w:rPr>
            </w:pPr>
            <w:r>
              <w:rPr>
                <w:rFonts w:eastAsia="等线"/>
                <w:color w:val="000000"/>
                <w:sz w:val="17"/>
                <w:szCs w:val="17"/>
              </w:rPr>
              <w:t>10253</w:t>
            </w:r>
          </w:p>
        </w:tc>
        <w:tc>
          <w:tcPr>
            <w:tcW w:w="995" w:type="pct"/>
            <w:vAlign w:val="center"/>
          </w:tcPr>
          <w:p w14:paraId="2E2B3FA8" w14:textId="77777777" w:rsidR="00636FE3" w:rsidRPr="002C17E7" w:rsidRDefault="00636FE3" w:rsidP="00636FE3">
            <w:pPr>
              <w:jc w:val="center"/>
              <w:rPr>
                <w:sz w:val="17"/>
              </w:rPr>
            </w:pPr>
            <w:r>
              <w:rPr>
                <w:rFonts w:eastAsia="等线"/>
                <w:color w:val="000000"/>
                <w:sz w:val="17"/>
                <w:szCs w:val="17"/>
              </w:rPr>
              <w:t>-</w:t>
            </w:r>
          </w:p>
        </w:tc>
      </w:tr>
    </w:tbl>
    <w:p w14:paraId="28F907BD" w14:textId="77777777" w:rsidR="00636FE3" w:rsidRPr="00542F24" w:rsidRDefault="00636FE3" w:rsidP="00636FE3">
      <w:pPr>
        <w:pStyle w:val="a5"/>
        <w:jc w:val="left"/>
        <w:rPr>
          <w:rFonts w:eastAsia="宋体"/>
          <w:bCs/>
          <w:lang w:eastAsia="zh-CN"/>
        </w:rPr>
      </w:pPr>
      <w:r>
        <w:t>Table 4. Descriptive means for blind ratings, in-process measures, and post-task questionnaire responses in the controlled study.</w:t>
      </w:r>
    </w:p>
    <w:p w14:paraId="78E05B86" w14:textId="77777777" w:rsidR="00701A41" w:rsidRDefault="00000000">
      <w:pPr>
        <w:pStyle w:val="2"/>
      </w:pPr>
      <w:r>
        <w:t>Evaluation Scope and Future Directions</w:t>
      </w:r>
    </w:p>
    <w:p w14:paraId="5224162B" w14:textId="77777777" w:rsidR="00701A41" w:rsidRDefault="00000000">
      <w:r>
        <w:t>Our evaluation now spans both controlled note-centered tasks and longer open-ended use in everyday study settings. Together, these studies let us examine AIPad at two complementary levels: short-session workflow effects under matched conditions, and sustained use patterns in ordinary university learning contexts. This combination is important for our core thesis that in-place AI collaboration should preserve flow and carry context forward inside the workspace rather than repeatedly externalizing it through separate chat interactions.</w:t>
      </w:r>
    </w:p>
    <w:p w14:paraId="4D735E71" w14:textId="77777777" w:rsidR="00701A41" w:rsidRDefault="00000000">
      <w:r>
        <w:t>Looking ahead, one natural next step is to extend this line of work from multi-day use to month-scale or semester-scale deployment, in order to better understand how workspace-carried context shapes later review, cumulative organization, and ongoing human-AI collaboration habits. A second direction concerns system robustness: as longer sessions, larger workspaces, and richer multimodal materials accumulate, questions of runtime stability, graph growth, persistence, and context scalability become increasingly central. A third direction is to study how these mechanisms generalize across broader learning settings, including collaborative study, project-based work, and more heterogeneous note ecologies.</w:t>
      </w:r>
    </w:p>
    <w:p w14:paraId="5DFAE154" w14:textId="77777777" w:rsidR="002A392E" w:rsidRPr="00E600C0" w:rsidRDefault="00000000">
      <w:pPr>
        <w:pStyle w:val="1"/>
        <w:jc w:val="left"/>
        <w:rPr>
          <w:bCs/>
        </w:rPr>
      </w:pPr>
      <w:r>
        <w:t>DISCUSSION</w:t>
      </w:r>
    </w:p>
    <w:p w14:paraId="7CA329E8" w14:textId="77777777" w:rsidR="00542F24" w:rsidRDefault="00542F24">
      <w:pPr>
        <w:pStyle w:val="2"/>
        <w:rPr>
          <w:rFonts w:eastAsia="宋体"/>
          <w:lang w:eastAsia="zh-CN"/>
        </w:rPr>
      </w:pPr>
      <w:r>
        <w:t>Flow and Interruption: Why It Matters to Ask AI In Place</w:t>
      </w:r>
    </w:p>
    <w:p w14:paraId="1A8B93AF" w14:textId="77777777" w:rsidR="002A392E" w:rsidRPr="002C17E7" w:rsidRDefault="00000000">
      <w:pPr>
        <w:rPr>
          <w:rFonts w:eastAsia="宋体"/>
          <w:lang w:eastAsia="zh-CN"/>
        </w:rPr>
      </w:pPr>
      <w:r>
        <w:t>AIPad's mechanisms all serve a single goal: making AI collaboration feel like continuing work on the page rather than leaving it. The comparison against the external-chat baseline suggests that reduced switching is not a superficial convenience. It changes whether users are willing to bring AI into the moment-to-moment development of notes. This is why flow preservation is central to our argument: if invoking AI already breaks place, then collaboration arrives too late and too externally to matter.</w:t>
      </w:r>
    </w:p>
    <w:p w14:paraId="77AD5159" w14:textId="77777777" w:rsidR="002A392E" w:rsidRPr="00E600C0" w:rsidRDefault="00000000">
      <w:pPr>
        <w:pStyle w:val="2"/>
        <w:jc w:val="left"/>
        <w:rPr>
          <w:bCs/>
        </w:rPr>
      </w:pPr>
      <w:r w:rsidRPr="00E600C0">
        <w:rPr>
          <w:bCs/>
        </w:rPr>
        <w:t>Automation and User Control</w:t>
      </w:r>
    </w:p>
    <w:p w14:paraId="4F16CD0D" w14:textId="77777777" w:rsidR="002A392E" w:rsidRDefault="00000000">
      <w:r>
        <w:t>Once AI suggestions become in-situ operations, the system can intervene more frequently. Under that condition, Preview-Accept becomes even more important. It is not simply a patch for model unreliability, but an institutional arrangement for high-frequency collaboration: the system can propose boldly, and the user can ignore at low cost. Future support for partial accept, post-edit commit, and side-by-side comparison should build on the same foundation.</w:t>
      </w:r>
    </w:p>
    <w:p w14:paraId="38C5402B" w14:textId="77777777" w:rsidR="002A392E" w:rsidRPr="00E600C0" w:rsidRDefault="00000000">
      <w:pPr>
        <w:pStyle w:val="2"/>
        <w:jc w:val="left"/>
        <w:rPr>
          <w:bCs/>
        </w:rPr>
      </w:pPr>
      <w:r w:rsidRPr="00E600C0">
        <w:rPr>
          <w:bCs/>
        </w:rPr>
        <w:t>Context Reuse and Premature Solidification</w:t>
      </w:r>
    </w:p>
    <w:p w14:paraId="023B804D" w14:textId="77777777" w:rsidR="002A392E" w:rsidRDefault="00000000">
      <w:r>
        <w:t>Semantic block maintenance brings structure to long sessions, but it also risks premature solidification. If the system promotes fragments into blocks too aggressively, later generation may be over-constrained by early structure; if it organizes too slowly, the model cannot benefit from stable context. The Graph Inspector and manual interventions matter precisely because they acknowledge this tension: semantic structure is a useful mid-level approximation, not the final truth of the user's thinking.</w:t>
      </w:r>
    </w:p>
    <w:p w14:paraId="3FB5B2CF" w14:textId="77777777" w:rsidR="002A392E" w:rsidRDefault="00000000">
      <w:pPr>
        <w:pStyle w:val="2"/>
        <w:jc w:val="left"/>
      </w:pPr>
      <w:r w:rsidRPr="00E600C0">
        <w:rPr>
          <w:bCs/>
        </w:rPr>
        <w:t>Observability and Interface Burden</w:t>
      </w:r>
    </w:p>
    <w:p w14:paraId="389988D1" w14:textId="77777777" w:rsidR="002A392E" w:rsidRDefault="00000000">
      <w:r>
        <w:t>Graph Inspector, logs, and state snapshots improve transparency but also add interface and implementation complexity. Not every user needs to inspect block relations explicitly. Yet for researchers and advanced users, hiding these layers would make it hard to understand why a given suggestion was produced. A promising direction is layered exposure: a lightweight default interface with deeper semantic and debugging views available on demand.</w:t>
      </w:r>
    </w:p>
    <w:p w14:paraId="75228DB1" w14:textId="77777777" w:rsidR="002A392E" w:rsidRPr="00E600C0" w:rsidRDefault="00000000">
      <w:pPr>
        <w:pStyle w:val="2"/>
        <w:jc w:val="left"/>
        <w:rPr>
          <w:bCs/>
        </w:rPr>
      </w:pPr>
      <w:r w:rsidRPr="00E600C0">
        <w:rPr>
          <w:bCs/>
        </w:rPr>
        <w:t>From Short Tasks to Long-Term Deployment</w:t>
      </w:r>
    </w:p>
    <w:p w14:paraId="49A2C25A" w14:textId="77777777" w:rsidR="002A392E" w:rsidRDefault="00000000">
      <w:r>
        <w:t xml:space="preserve">The next stage of this work should proceed along two paths rather than three. First, we should move from multi-day and controlled evaluations into longer authentic deployments to examine how preserved flow and workspace-carried context shape later review, cross-session reuse, and stable study </w:t>
      </w:r>
      <w:r>
        <w:lastRenderedPageBreak/>
        <w:t>habits over time. Second, we should continue stress-testing the runtime itself as workspaces become larger and more multimodal, with particular attention to long-session stability, recovery, graph growth, and context scalability.</w:t>
      </w:r>
    </w:p>
    <w:p w14:paraId="0406C4B3" w14:textId="77777777" w:rsidR="002A392E" w:rsidRDefault="00000000" w:rsidP="00345AFA">
      <w:pPr>
        <w:pStyle w:val="1"/>
        <w:spacing w:before="0"/>
        <w:jc w:val="left"/>
      </w:pPr>
      <w:r w:rsidRPr="00345AFA">
        <w:t>CONCLUSION</w:t>
      </w:r>
    </w:p>
    <w:p w14:paraId="12B4BDE1" w14:textId="77777777" w:rsidR="002A392E" w:rsidRDefault="00000000">
      <w:r>
        <w:t>This paper asks a focused question: if note-centered learning unfolds on a mixed ink-and-text working surface, how should AI collaborate without breaking flow or repeatedly reconstructing context outside the page? Our answer is AIPad, a system built around two requirements: keeping AI in place, and keeping context in place. Preview-first interaction lets AI participate without interrupting work; AutoMaintain preserves evolving page structure as workspace memory; and the Orchestrator turns that memory into compact local context for later requests. Across our evaluations, this design reduced interruption, supported more continuous in-place use, lowered prompt overhead relative to an in-canvas NoGraph baseline, and improved downstream note quality on organization, depth, continuity, and later-review usefulness. These results do not yet constitute a final statement about long-term learning outcomes, but they do argue that for note-centered AI collaboration, the key design move is not to make a better side chat. It is to let both interaction and context remain in the workspace itself.</w:t>
      </w:r>
    </w:p>
    <w:p w14:paraId="3AE512B7" w14:textId="77777777" w:rsidR="002A392E" w:rsidRDefault="00000000" w:rsidP="00345AFA">
      <w:pPr>
        <w:pStyle w:val="1"/>
        <w:spacing w:before="0"/>
        <w:jc w:val="left"/>
      </w:pPr>
      <w:r w:rsidRPr="00345AFA">
        <w:t>REFERENCES</w:t>
      </w:r>
    </w:p>
    <w:p w14:paraId="010BD63E" w14:textId="77777777" w:rsidR="002A392E" w:rsidRDefault="00000000">
      <w:pPr>
        <w:spacing w:after="0"/>
        <w:ind w:left="259" w:hanging="259"/>
      </w:pPr>
      <w:r>
        <w:t>[1] Sophie Leroy. 2009. Why Is It So Hard to Do My Work? The Challenge of Attention Residue When Switching Between Work Tasks. Organizational Behavior and Human Decision Processes.</w:t>
      </w:r>
    </w:p>
    <w:p w14:paraId="3E26C13F" w14:textId="77777777" w:rsidR="002A392E" w:rsidRDefault="00000000">
      <w:pPr>
        <w:spacing w:after="0"/>
        <w:ind w:left="259" w:hanging="259"/>
      </w:pPr>
      <w:r>
        <w:t>[2] Brian P. Bailey and Shamsi T. Iqbal. 2008. Understanding Changes in Mental Workload During Execution of Goal-Directed Tasks and Its Application for Interruption Management. In Proceedings of the SIGCHI Conference on Human Factors in Computing Systems (CHI).</w:t>
      </w:r>
    </w:p>
    <w:p w14:paraId="6FD0549E" w14:textId="77777777" w:rsidR="002A392E" w:rsidRDefault="00000000">
      <w:pPr>
        <w:spacing w:after="0"/>
        <w:ind w:left="259" w:hanging="259"/>
      </w:pPr>
      <w:r>
        <w:t>[3] Pam A. Mueller and Daniel M. Oppenheimer. 2014. The Pen Is Mightier Than the Keyboard. Psychological Science.</w:t>
      </w:r>
    </w:p>
    <w:p w14:paraId="264B28B0" w14:textId="77777777" w:rsidR="002A392E" w:rsidRDefault="00000000">
      <w:pPr>
        <w:spacing w:after="0"/>
        <w:ind w:left="259" w:hanging="259"/>
      </w:pPr>
      <w:r>
        <w:t>[4] Peiling Jiang, Jack Rayan, Steven P. Dow, and Haijun Xia. 2023. Graphologue: Exploring Large Language Model Responses with Interactive Diagrams. In Proceedings of the ACM Symposium on User Interface Software and Technology (UIST).</w:t>
      </w:r>
    </w:p>
    <w:p w14:paraId="2C64A202" w14:textId="77777777" w:rsidR="002A392E" w:rsidRDefault="00000000">
      <w:pPr>
        <w:spacing w:after="0"/>
        <w:ind w:left="259" w:hanging="259"/>
      </w:pPr>
      <w:r>
        <w:t>[5] Yuxi Zhuang et al. 2024. DirectGPT: A Direct Manipulation Interface to Interact with Large Language Models. In Proceedings of the SIGCHI Conference on Human Factors in Computing Systems (CHI).</w:t>
      </w:r>
    </w:p>
    <w:p w14:paraId="2BA7F7CD" w14:textId="77777777" w:rsidR="002A392E" w:rsidRDefault="00000000">
      <w:pPr>
        <w:spacing w:after="0"/>
        <w:ind w:left="259" w:hanging="259"/>
      </w:pPr>
      <w:r>
        <w:t>[6] Dakuo Ma et al. 2025. Garden of Papers. In Proceedings of the ACM Symposium on User Interface Software and Technology (UIST).</w:t>
      </w:r>
    </w:p>
    <w:p w14:paraId="65DA3B7A" w14:textId="77777777" w:rsidR="002A392E" w:rsidRDefault="00000000">
      <w:pPr>
        <w:spacing w:after="0"/>
        <w:ind w:left="259" w:hanging="259"/>
      </w:pPr>
      <w:r>
        <w:t>[7] Ken Hinckley et al. 2007. InkSeine: In Situ Search for Active Note Taking. In Proceedings of the SIGCHI Conference on Human Factors in Computing Systems (CHI).</w:t>
      </w:r>
    </w:p>
    <w:p w14:paraId="0028A685" w14:textId="77777777" w:rsidR="002A392E" w:rsidRDefault="00000000">
      <w:pPr>
        <w:spacing w:after="0"/>
        <w:ind w:left="259" w:hanging="259"/>
      </w:pPr>
      <w:r>
        <w:t>[8] SpaceInk: Making Space for In-Context Annotations. 2019. In Proceedings of the ACM Symposium on User Interface Software and Technology (UIST).</w:t>
      </w:r>
    </w:p>
    <w:p w14:paraId="3288DEB6" w14:textId="77777777" w:rsidR="002A392E" w:rsidRDefault="00000000">
      <w:pPr>
        <w:spacing w:after="0"/>
        <w:ind w:left="259" w:hanging="259"/>
      </w:pPr>
      <w:r>
        <w:t>[9] Yann Riche et al. 2017. As We May Ink?: Learning from Everyday Analog Pen Use to Improve Digital Ink Experiences. In Proceedings of the SIGCHI Conference on Human Factors in Computing Systems (CHI).</w:t>
      </w:r>
    </w:p>
    <w:p w14:paraId="47D4ADE8" w14:textId="77777777" w:rsidR="002A392E" w:rsidRDefault="00000000">
      <w:pPr>
        <w:spacing w:after="0"/>
        <w:ind w:left="259" w:hanging="259"/>
      </w:pPr>
      <w:r>
        <w:t>[10] WritLarge: Ink Unleashed by Unified Scope, Action, and Zoom. 2017. In Proceedings of the SIGCHI Conference on Human Factors in Computing Systems (CHI).</w:t>
      </w:r>
    </w:p>
    <w:p w14:paraId="45207193" w14:textId="77777777" w:rsidR="002A392E" w:rsidRDefault="00000000">
      <w:pPr>
        <w:spacing w:after="0"/>
        <w:ind w:left="259" w:hanging="259"/>
      </w:pPr>
      <w:r>
        <w:t>[11] Scott R. Klemmer et al. 2001. The Designers' Outpost. In Proceedings of the ACM Symposium on User Interface Software and Technology (UIST).</w:t>
      </w:r>
    </w:p>
    <w:p w14:paraId="08B1FB82" w14:textId="77777777" w:rsidR="002A392E" w:rsidRDefault="00000000">
      <w:pPr>
        <w:spacing w:after="0"/>
        <w:ind w:left="259" w:hanging="259"/>
      </w:pPr>
      <w:r>
        <w:t>[12] Tongshuang Wu et al. 2022. PromptChainer. In Proceedings of the SIGCHI Conference on Human Factors in Computing Systems (CHI).</w:t>
      </w:r>
    </w:p>
    <w:p w14:paraId="2F0A5B4E" w14:textId="77777777" w:rsidR="002A392E" w:rsidRDefault="00000000">
      <w:pPr>
        <w:spacing w:after="0"/>
        <w:ind w:left="259" w:hanging="259"/>
      </w:pPr>
      <w:r>
        <w:t>[13] Ian Arawjo et al. 2023. ChainForge. In Proceedings of the ACM Symposium on User Interface Software and Technology (UIST).</w:t>
      </w:r>
    </w:p>
    <w:p w14:paraId="3B5D9834" w14:textId="77777777" w:rsidR="002A392E" w:rsidRDefault="00000000">
      <w:pPr>
        <w:spacing w:after="0"/>
        <w:ind w:left="259" w:hanging="259"/>
      </w:pPr>
      <w:r>
        <w:t>[14] Nathalie Henry Riche et al. 2025. AI-Instruments. In Proceedings of the SIGCHI Conference on Human Factors in Computing Systems (CHI).</w:t>
      </w:r>
    </w:p>
    <w:p w14:paraId="10A4C6B4" w14:textId="77777777" w:rsidR="002A392E" w:rsidRDefault="00000000">
      <w:pPr>
        <w:spacing w:after="0"/>
        <w:ind w:left="259" w:hanging="259"/>
      </w:pPr>
      <w:r>
        <w:t>[15] Nicolai Marquardt et al. 2025. ImaginationVellum: Generative-AI Ideation Canvas with Spatial Prompts, Generative Strokes, and Ideation History. In Proceedings of the ACM Symposium on User Interface Software and Technology (UIST).</w:t>
      </w:r>
    </w:p>
    <w:p w14:paraId="1C67A9A1" w14:textId="77777777" w:rsidR="002A392E" w:rsidRDefault="00000000">
      <w:pPr>
        <w:spacing w:after="0"/>
        <w:ind w:left="259" w:hanging="259"/>
      </w:pPr>
      <w:r>
        <w:t>[16] David Kirsh. 1995. The Intelligent Use of Space. Artificial Intelligence.</w:t>
      </w:r>
    </w:p>
    <w:p w14:paraId="4FE34ED8" w14:textId="77777777" w:rsidR="002A392E" w:rsidRDefault="00000000">
      <w:pPr>
        <w:spacing w:after="0"/>
        <w:ind w:left="259" w:hanging="259"/>
      </w:pPr>
      <w:r>
        <w:t>[17] Evan F. Risko and Sam J. Gilbert. 2016. Cognitive Offloading. Trends in Cognitive Sciences.</w:t>
      </w:r>
    </w:p>
    <w:p w14:paraId="5E5487A3" w14:textId="77777777" w:rsidR="002A392E" w:rsidRDefault="00000000">
      <w:pPr>
        <w:spacing w:after="0"/>
        <w:ind w:left="259" w:hanging="259"/>
      </w:pPr>
      <w:r>
        <w:t>[18] Patrick Lewis et al. 2020. Retrieval-Augmented Generation for Knowledge-Intensive NLP Tasks. In Advances in Neural Information Processing Systems (NeurIPS).</w:t>
      </w:r>
    </w:p>
    <w:p w14:paraId="6BE469E1" w14:textId="77777777" w:rsidR="002A392E" w:rsidRDefault="00000000">
      <w:pPr>
        <w:spacing w:after="0"/>
        <w:ind w:left="259" w:hanging="259"/>
      </w:pPr>
      <w:r>
        <w:t>[19] Charles Packer et al. 2023. MemGPT: Towards LLMs as Operating Systems for Memory. arXiv.</w:t>
      </w:r>
    </w:p>
    <w:p w14:paraId="34BECBA2" w14:textId="77777777" w:rsidR="002A392E" w:rsidRPr="00260CDF" w:rsidRDefault="00000000" w:rsidP="00E600C0">
      <w:pPr>
        <w:pStyle w:val="2"/>
        <w:jc w:val="left"/>
        <w:rPr>
          <w:bCs/>
          <w:highlight w:val="lightGray"/>
        </w:rPr>
      </w:pPr>
      <w:r w:rsidRPr="00260CDF">
        <w:rPr>
          <w:bCs/>
          <w:highlight w:val="lightGray"/>
        </w:rPr>
        <w:t>APPENDIX A. FIGURES TO COMPLETE BEFORE SUBMISSION</w:t>
      </w:r>
    </w:p>
    <w:p w14:paraId="1696D91A" w14:textId="77777777" w:rsidR="002A392E" w:rsidRPr="00260CDF" w:rsidRDefault="00000000">
      <w:pPr>
        <w:rPr>
          <w:highlight w:val="lightGray"/>
        </w:rPr>
      </w:pPr>
      <w:r w:rsidRPr="00260CDF">
        <w:rPr>
          <w:highlight w:val="lightGray"/>
        </w:rPr>
        <w:t>(1) A teaser figure showing original notes, gray preview layer, Graph Inspector, semantic blocks, and Accept/Dismiss controls.</w:t>
      </w:r>
    </w:p>
    <w:p w14:paraId="3413665B" w14:textId="77777777" w:rsidR="002A392E" w:rsidRPr="00260CDF" w:rsidRDefault="00000000">
      <w:pPr>
        <w:rPr>
          <w:highlight w:val="lightGray"/>
        </w:rPr>
      </w:pPr>
      <w:r w:rsidRPr="00260CDF">
        <w:rPr>
          <w:highlight w:val="lightGray"/>
        </w:rPr>
        <w:t>(2) Two walkthrough figures corresponding to lecture-note organization and multi-step problem solving.</w:t>
      </w:r>
    </w:p>
    <w:p w14:paraId="674A7577" w14:textId="77777777" w:rsidR="002A392E" w:rsidRPr="00260CDF" w:rsidRDefault="00000000">
      <w:pPr>
        <w:rPr>
          <w:highlight w:val="lightGray"/>
        </w:rPr>
      </w:pPr>
      <w:r w:rsidRPr="00260CDF">
        <w:rPr>
          <w:highlight w:val="lightGray"/>
        </w:rPr>
        <w:t>(3) A conceptual interaction-loop figure for context compilation.</w:t>
      </w:r>
    </w:p>
    <w:p w14:paraId="2E895037" w14:textId="77777777" w:rsidR="002A392E" w:rsidRPr="00260CDF" w:rsidRDefault="00000000">
      <w:pPr>
        <w:rPr>
          <w:highlight w:val="lightGray"/>
        </w:rPr>
      </w:pPr>
      <w:r w:rsidRPr="00260CDF">
        <w:rPr>
          <w:highlight w:val="lightGray"/>
        </w:rPr>
        <w:t>(4) An Auto Maintain flow diagram from fragment to group to block.</w:t>
      </w:r>
    </w:p>
    <w:p w14:paraId="64D71CBA" w14:textId="77777777" w:rsidR="002A392E" w:rsidRDefault="00000000">
      <w:pPr>
        <w:rPr>
          <w:rFonts w:eastAsia="宋体"/>
          <w:lang w:eastAsia="zh-CN"/>
        </w:rPr>
      </w:pPr>
      <w:r w:rsidRPr="00260CDF">
        <w:rPr>
          <w:highlight w:val="lightGray"/>
        </w:rPr>
        <w:t>(5) A study-results overview figure visualizing the key numbers in Tables 3 and 4.</w:t>
      </w:r>
    </w:p>
    <w:p w14:paraId="2B76081A" w14:textId="77777777" w:rsidR="005C04F9" w:rsidRPr="005C04F9" w:rsidRDefault="005C04F9">
      <w:pPr>
        <w:rPr>
          <w:rFonts w:eastAsia="宋体"/>
          <w:lang w:eastAsia="zh-CN"/>
        </w:rPr>
      </w:pPr>
    </w:p>
    <w:sectPr w:rsidR="005C04F9" w:rsidRPr="005C04F9" w:rsidSect="0088607F">
      <w:type w:val="continuous"/>
      <w:pgSz w:w="12240" w:h="15840" w:code="1"/>
      <w:pgMar w:top="1224"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54C9" w14:textId="77777777" w:rsidR="008C36F5" w:rsidRDefault="008C36F5">
      <w:r>
        <w:separator/>
      </w:r>
    </w:p>
  </w:endnote>
  <w:endnote w:type="continuationSeparator" w:id="0">
    <w:p w14:paraId="45C43D7D" w14:textId="77777777" w:rsidR="008C36F5" w:rsidRDefault="008C3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2488" w14:textId="77777777" w:rsidR="008C36F5" w:rsidRDefault="008C36F5" w:rsidP="00443E9F">
      <w:pPr>
        <w:spacing w:after="0"/>
      </w:pPr>
      <w:r>
        <w:separator/>
      </w:r>
    </w:p>
  </w:footnote>
  <w:footnote w:type="continuationSeparator" w:id="0">
    <w:p w14:paraId="4B784FA0" w14:textId="77777777" w:rsidR="008C36F5" w:rsidRDefault="008C36F5" w:rsidP="00443E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341E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2ED5D3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4" w15:restartNumberingAfterBreak="0">
    <w:nsid w:val="064E10C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5" w15:restartNumberingAfterBreak="0">
    <w:nsid w:val="06686EE4"/>
    <w:multiLevelType w:val="multilevel"/>
    <w:tmpl w:val="3ABA5942"/>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4496F4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7"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8" w15:restartNumberingAfterBreak="0">
    <w:nsid w:val="1AF60F8A"/>
    <w:multiLevelType w:val="hybridMultilevel"/>
    <w:tmpl w:val="C3145B54"/>
    <w:lvl w:ilvl="0" w:tplc="D8A0EA28">
      <w:start w:val="1"/>
      <w:numFmt w:val="decimal"/>
      <w:lvlText w:val="[%1]"/>
      <w:lvlJc w:val="left"/>
      <w:pPr>
        <w:ind w:left="720" w:hanging="360"/>
      </w:pPr>
      <w:rPr>
        <w:rFonts w:ascii="Times New Roman" w:hAnsi="Times New Roman" w:hint="default"/>
        <w:b w:val="0"/>
        <w:bCs w:val="0"/>
        <w:i w:val="0"/>
        <w:iCs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256FB0"/>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0" w15:restartNumberingAfterBreak="0">
    <w:nsid w:val="1F4A0179"/>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1" w15:restartNumberingAfterBreak="0">
    <w:nsid w:val="21E218E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2" w15:restartNumberingAfterBreak="0">
    <w:nsid w:val="29B677BC"/>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3"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24"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5" w15:restartNumberingAfterBreak="0">
    <w:nsid w:val="3B7C47B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6" w15:restartNumberingAfterBreak="0">
    <w:nsid w:val="41CF6A12"/>
    <w:multiLevelType w:val="hybridMultilevel"/>
    <w:tmpl w:val="F8D24EA4"/>
    <w:lvl w:ilvl="0" w:tplc="C64ABB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8" w15:restartNumberingAfterBreak="0">
    <w:nsid w:val="499A66E6"/>
    <w:multiLevelType w:val="hybridMultilevel"/>
    <w:tmpl w:val="02084F4E"/>
    <w:lvl w:ilvl="0" w:tplc="51627B8E">
      <w:start w:val="1"/>
      <w:numFmt w:val="decimal"/>
      <w:lvlText w:val="%1."/>
      <w:lvlJc w:val="left"/>
      <w:pPr>
        <w:ind w:left="720" w:hanging="360"/>
      </w:pPr>
      <w:rPr>
        <w:rFonts w:ascii="Times New Roman" w:hAnsi="Times New Roman"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30"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31"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33" w15:restartNumberingAfterBreak="0">
    <w:nsid w:val="5A0A036E"/>
    <w:multiLevelType w:val="singleLevel"/>
    <w:tmpl w:val="61E616DA"/>
    <w:lvl w:ilvl="0">
      <w:start w:val="1"/>
      <w:numFmt w:val="decimal"/>
      <w:lvlText w:val="%1."/>
      <w:legacy w:legacy="1" w:legacySpace="0" w:legacyIndent="144"/>
      <w:lvlJc w:val="left"/>
      <w:pPr>
        <w:ind w:left="144" w:hanging="144"/>
      </w:pPr>
    </w:lvl>
  </w:abstractNum>
  <w:abstractNum w:abstractNumId="34" w15:restartNumberingAfterBreak="0">
    <w:nsid w:val="5BB151A4"/>
    <w:multiLevelType w:val="multilevel"/>
    <w:tmpl w:val="0F962DDA"/>
    <w:lvl w:ilvl="0">
      <w:start w:val="1"/>
      <w:numFmt w:val="decimal"/>
      <w:lvlText w:val="[%1]"/>
      <w:lvlJc w:val="left"/>
      <w:pPr>
        <w:tabs>
          <w:tab w:val="num" w:pos="360"/>
        </w:tabs>
        <w:ind w:left="0" w:firstLine="0"/>
      </w:pPr>
      <w:rPr>
        <w:rFonts w:ascii="Arial" w:hAnsi="Arial" w:hint="default"/>
      </w:rPr>
    </w:lvl>
    <w:lvl w:ilvl="1">
      <w:start w:val="1"/>
      <w:numFmt w:val="lowerLetter"/>
      <w:lvlText w:val="%2."/>
      <w:lvlJc w:val="left"/>
      <w:pPr>
        <w:tabs>
          <w:tab w:val="num" w:pos="3240"/>
        </w:tabs>
        <w:ind w:left="3240" w:hanging="360"/>
      </w:pPr>
    </w:lvl>
    <w:lvl w:ilvl="2">
      <w:start w:val="1"/>
      <w:numFmt w:val="lowerRoman"/>
      <w:lvlText w:val="%3."/>
      <w:lvlJc w:val="right"/>
      <w:pPr>
        <w:tabs>
          <w:tab w:val="num" w:pos="3960"/>
        </w:tabs>
        <w:ind w:left="3960" w:hanging="180"/>
      </w:pPr>
    </w:lvl>
    <w:lvl w:ilvl="3">
      <w:start w:val="1"/>
      <w:numFmt w:val="decimal"/>
      <w:lvlText w:val="%4."/>
      <w:lvlJc w:val="left"/>
      <w:pPr>
        <w:tabs>
          <w:tab w:val="num" w:pos="4680"/>
        </w:tabs>
        <w:ind w:left="4680" w:hanging="360"/>
      </w:pPr>
    </w:lvl>
    <w:lvl w:ilvl="4">
      <w:start w:val="1"/>
      <w:numFmt w:val="lowerLetter"/>
      <w:lvlText w:val="%5."/>
      <w:lvlJc w:val="left"/>
      <w:pPr>
        <w:tabs>
          <w:tab w:val="num" w:pos="5400"/>
        </w:tabs>
        <w:ind w:left="5400" w:hanging="360"/>
      </w:pPr>
    </w:lvl>
    <w:lvl w:ilvl="5">
      <w:start w:val="1"/>
      <w:numFmt w:val="lowerRoman"/>
      <w:lvlText w:val="%6."/>
      <w:lvlJc w:val="right"/>
      <w:pPr>
        <w:tabs>
          <w:tab w:val="num" w:pos="6120"/>
        </w:tabs>
        <w:ind w:left="6120" w:hanging="180"/>
      </w:pPr>
    </w:lvl>
    <w:lvl w:ilvl="6">
      <w:start w:val="1"/>
      <w:numFmt w:val="decimal"/>
      <w:lvlText w:val="%7."/>
      <w:lvlJc w:val="left"/>
      <w:pPr>
        <w:tabs>
          <w:tab w:val="num" w:pos="6840"/>
        </w:tabs>
        <w:ind w:left="6840" w:hanging="360"/>
      </w:pPr>
    </w:lvl>
    <w:lvl w:ilvl="7">
      <w:start w:val="1"/>
      <w:numFmt w:val="lowerLetter"/>
      <w:lvlText w:val="%8."/>
      <w:lvlJc w:val="left"/>
      <w:pPr>
        <w:tabs>
          <w:tab w:val="num" w:pos="7560"/>
        </w:tabs>
        <w:ind w:left="7560" w:hanging="360"/>
      </w:pPr>
    </w:lvl>
    <w:lvl w:ilvl="8">
      <w:start w:val="1"/>
      <w:numFmt w:val="lowerRoman"/>
      <w:lvlText w:val="%9."/>
      <w:lvlJc w:val="right"/>
      <w:pPr>
        <w:tabs>
          <w:tab w:val="num" w:pos="8280"/>
        </w:tabs>
        <w:ind w:left="8280" w:hanging="180"/>
      </w:pPr>
    </w:lvl>
  </w:abstractNum>
  <w:abstractNum w:abstractNumId="35" w15:restartNumberingAfterBreak="0">
    <w:nsid w:val="75B570D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36" w15:restartNumberingAfterBreak="0">
    <w:nsid w:val="797D1334"/>
    <w:multiLevelType w:val="hybridMultilevel"/>
    <w:tmpl w:val="B1DA8046"/>
    <w:lvl w:ilvl="0" w:tplc="EC7ABFD4">
      <w:start w:val="1"/>
      <w:numFmt w:val="decimal"/>
      <w:lvlText w:val="[%1]"/>
      <w:lvlJc w:val="left"/>
      <w:pPr>
        <w:ind w:left="720" w:hanging="360"/>
      </w:pPr>
      <w:rPr>
        <w:rFonts w:ascii="Times New Roman" w:hAnsi="Times New Roman" w:hint="default"/>
        <w:b w:val="0"/>
        <w:bCs w:val="0"/>
        <w:i w:val="0"/>
        <w:iCs w:val="0"/>
        <w:sz w:val="1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F32C27"/>
    <w:multiLevelType w:val="hybridMultilevel"/>
    <w:tmpl w:val="FE080206"/>
    <w:lvl w:ilvl="0" w:tplc="61AEA40C">
      <w:start w:val="1"/>
      <w:numFmt w:val="decimal"/>
      <w:pStyle w:val="References"/>
      <w:lvlText w:val="[%1]"/>
      <w:lvlJc w:val="left"/>
      <w:pPr>
        <w:ind w:left="720" w:hanging="360"/>
      </w:pPr>
      <w:rPr>
        <w:rFonts w:ascii="Times New Roman" w:hAnsi="Times New Roman" w:hint="default"/>
        <w:b w:val="0"/>
        <w:bCs w:val="0"/>
        <w:i w:val="0"/>
        <w:iCs w:val="0"/>
        <w:sz w:val="14"/>
        <w:szCs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A90541"/>
    <w:multiLevelType w:val="hybridMultilevel"/>
    <w:tmpl w:val="5F883B94"/>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39" w15:restartNumberingAfterBreak="0">
    <w:nsid w:val="7FE40FC1"/>
    <w:multiLevelType w:val="singleLevel"/>
    <w:tmpl w:val="73C82224"/>
    <w:lvl w:ilvl="0">
      <w:start w:val="1"/>
      <w:numFmt w:val="bullet"/>
      <w:lvlText w:val=""/>
      <w:lvlJc w:val="left"/>
      <w:pPr>
        <w:tabs>
          <w:tab w:val="num" w:pos="216"/>
        </w:tabs>
        <w:ind w:left="216" w:hanging="216"/>
      </w:pPr>
      <w:rPr>
        <w:rFonts w:ascii="Wingdings" w:hAnsi="Wingdings" w:hint="default"/>
        <w:sz w:val="16"/>
      </w:rPr>
    </w:lvl>
  </w:abstractNum>
  <w:num w:numId="1" w16cid:durableId="38601844">
    <w:abstractNumId w:val="10"/>
  </w:num>
  <w:num w:numId="2" w16cid:durableId="641622423">
    <w:abstractNumId w:val="8"/>
  </w:num>
  <w:num w:numId="3" w16cid:durableId="1665208835">
    <w:abstractNumId w:val="7"/>
  </w:num>
  <w:num w:numId="4" w16cid:durableId="1867710889">
    <w:abstractNumId w:val="6"/>
  </w:num>
  <w:num w:numId="5" w16cid:durableId="903294837">
    <w:abstractNumId w:val="5"/>
  </w:num>
  <w:num w:numId="6" w16cid:durableId="2022393728">
    <w:abstractNumId w:val="9"/>
  </w:num>
  <w:num w:numId="7" w16cid:durableId="1158111604">
    <w:abstractNumId w:val="4"/>
  </w:num>
  <w:num w:numId="8" w16cid:durableId="2029746138">
    <w:abstractNumId w:val="3"/>
  </w:num>
  <w:num w:numId="9" w16cid:durableId="448667107">
    <w:abstractNumId w:val="2"/>
  </w:num>
  <w:num w:numId="10" w16cid:durableId="1293555891">
    <w:abstractNumId w:val="1"/>
  </w:num>
  <w:num w:numId="11" w16cid:durableId="2047220950">
    <w:abstractNumId w:val="10"/>
  </w:num>
  <w:num w:numId="12" w16cid:durableId="2118941212">
    <w:abstractNumId w:val="8"/>
  </w:num>
  <w:num w:numId="13" w16cid:durableId="1211959758">
    <w:abstractNumId w:val="7"/>
  </w:num>
  <w:num w:numId="14" w16cid:durableId="257518555">
    <w:abstractNumId w:val="6"/>
  </w:num>
  <w:num w:numId="15" w16cid:durableId="1696032566">
    <w:abstractNumId w:val="5"/>
  </w:num>
  <w:num w:numId="16" w16cid:durableId="1190610993">
    <w:abstractNumId w:val="9"/>
  </w:num>
  <w:num w:numId="17" w16cid:durableId="1643655021">
    <w:abstractNumId w:val="4"/>
  </w:num>
  <w:num w:numId="18" w16cid:durableId="1192499721">
    <w:abstractNumId w:val="3"/>
  </w:num>
  <w:num w:numId="19" w16cid:durableId="556941664">
    <w:abstractNumId w:val="2"/>
  </w:num>
  <w:num w:numId="20" w16cid:durableId="72554500">
    <w:abstractNumId w:val="1"/>
  </w:num>
  <w:num w:numId="21" w16cid:durableId="307370057">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1532576243">
    <w:abstractNumId w:val="33"/>
  </w:num>
  <w:num w:numId="23" w16cid:durableId="824668061">
    <w:abstractNumId w:val="24"/>
  </w:num>
  <w:num w:numId="24" w16cid:durableId="1706715818">
    <w:abstractNumId w:val="11"/>
  </w:num>
  <w:num w:numId="25" w16cid:durableId="1817723247">
    <w:abstractNumId w:val="27"/>
  </w:num>
  <w:num w:numId="26" w16cid:durableId="1047023472">
    <w:abstractNumId w:val="23"/>
  </w:num>
  <w:num w:numId="27" w16cid:durableId="482699366">
    <w:abstractNumId w:val="29"/>
  </w:num>
  <w:num w:numId="28" w16cid:durableId="626617924">
    <w:abstractNumId w:val="30"/>
  </w:num>
  <w:num w:numId="29" w16cid:durableId="1234001419">
    <w:abstractNumId w:val="17"/>
  </w:num>
  <w:num w:numId="30" w16cid:durableId="1346126462">
    <w:abstractNumId w:val="32"/>
  </w:num>
  <w:num w:numId="31" w16cid:durableId="1119179706">
    <w:abstractNumId w:val="15"/>
  </w:num>
  <w:num w:numId="32" w16cid:durableId="952715385">
    <w:abstractNumId w:val="38"/>
  </w:num>
  <w:num w:numId="33" w16cid:durableId="669137292">
    <w:abstractNumId w:val="0"/>
  </w:num>
  <w:num w:numId="34" w16cid:durableId="820971176">
    <w:abstractNumId w:val="31"/>
  </w:num>
  <w:num w:numId="35" w16cid:durableId="736171403">
    <w:abstractNumId w:val="16"/>
  </w:num>
  <w:num w:numId="36" w16cid:durableId="700668818">
    <w:abstractNumId w:val="25"/>
  </w:num>
  <w:num w:numId="37" w16cid:durableId="1611937590">
    <w:abstractNumId w:val="13"/>
  </w:num>
  <w:num w:numId="38" w16cid:durableId="2072118459">
    <w:abstractNumId w:val="19"/>
  </w:num>
  <w:num w:numId="39" w16cid:durableId="230776051">
    <w:abstractNumId w:val="22"/>
  </w:num>
  <w:num w:numId="40" w16cid:durableId="461188884">
    <w:abstractNumId w:val="20"/>
  </w:num>
  <w:num w:numId="41" w16cid:durableId="1892811747">
    <w:abstractNumId w:val="35"/>
  </w:num>
  <w:num w:numId="42" w16cid:durableId="618293325">
    <w:abstractNumId w:val="14"/>
  </w:num>
  <w:num w:numId="43" w16cid:durableId="714238992">
    <w:abstractNumId w:val="21"/>
  </w:num>
  <w:num w:numId="44" w16cid:durableId="1593466695">
    <w:abstractNumId w:val="28"/>
  </w:num>
  <w:num w:numId="45" w16cid:durableId="2147234803">
    <w:abstractNumId w:val="34"/>
  </w:num>
  <w:num w:numId="46" w16cid:durableId="209807692">
    <w:abstractNumId w:val="39"/>
  </w:num>
  <w:num w:numId="47" w16cid:durableId="1240673862">
    <w:abstractNumId w:val="37"/>
  </w:num>
  <w:num w:numId="48" w16cid:durableId="1687100536">
    <w:abstractNumId w:val="36"/>
  </w:num>
  <w:num w:numId="49" w16cid:durableId="826749362">
    <w:abstractNumId w:val="18"/>
  </w:num>
  <w:num w:numId="50" w16cid:durableId="20698378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4F7602"/>
    <w:rsid w:val="00012912"/>
    <w:rsid w:val="0001659E"/>
    <w:rsid w:val="000333DE"/>
    <w:rsid w:val="0003450C"/>
    <w:rsid w:val="00040794"/>
    <w:rsid w:val="00055598"/>
    <w:rsid w:val="00061890"/>
    <w:rsid w:val="0006579B"/>
    <w:rsid w:val="000728F3"/>
    <w:rsid w:val="00072B3A"/>
    <w:rsid w:val="00073DCD"/>
    <w:rsid w:val="000A3852"/>
    <w:rsid w:val="000B0D37"/>
    <w:rsid w:val="000B6A11"/>
    <w:rsid w:val="000B72DA"/>
    <w:rsid w:val="000E4445"/>
    <w:rsid w:val="000E5328"/>
    <w:rsid w:val="000F19BD"/>
    <w:rsid w:val="000F2A68"/>
    <w:rsid w:val="000F4B8F"/>
    <w:rsid w:val="0010082E"/>
    <w:rsid w:val="0010210D"/>
    <w:rsid w:val="00103A63"/>
    <w:rsid w:val="00107A38"/>
    <w:rsid w:val="001105CA"/>
    <w:rsid w:val="00114577"/>
    <w:rsid w:val="00121EE5"/>
    <w:rsid w:val="00123CFD"/>
    <w:rsid w:val="00124E2A"/>
    <w:rsid w:val="00137145"/>
    <w:rsid w:val="001465AB"/>
    <w:rsid w:val="00151C8B"/>
    <w:rsid w:val="00151FAA"/>
    <w:rsid w:val="00161911"/>
    <w:rsid w:val="00175E74"/>
    <w:rsid w:val="0017799B"/>
    <w:rsid w:val="00186236"/>
    <w:rsid w:val="00191462"/>
    <w:rsid w:val="00192906"/>
    <w:rsid w:val="00197B90"/>
    <w:rsid w:val="00197F9B"/>
    <w:rsid w:val="001B185F"/>
    <w:rsid w:val="001C2A81"/>
    <w:rsid w:val="001D29E1"/>
    <w:rsid w:val="001E5C50"/>
    <w:rsid w:val="001F042A"/>
    <w:rsid w:val="001F062E"/>
    <w:rsid w:val="001F40BF"/>
    <w:rsid w:val="001F4B3C"/>
    <w:rsid w:val="0020192F"/>
    <w:rsid w:val="002022E4"/>
    <w:rsid w:val="002028D3"/>
    <w:rsid w:val="00210191"/>
    <w:rsid w:val="002126CF"/>
    <w:rsid w:val="00214551"/>
    <w:rsid w:val="00227741"/>
    <w:rsid w:val="0024113A"/>
    <w:rsid w:val="00244576"/>
    <w:rsid w:val="00251B3D"/>
    <w:rsid w:val="0025707B"/>
    <w:rsid w:val="00260CDF"/>
    <w:rsid w:val="00263558"/>
    <w:rsid w:val="002639F6"/>
    <w:rsid w:val="00267C0B"/>
    <w:rsid w:val="0027099B"/>
    <w:rsid w:val="002727A0"/>
    <w:rsid w:val="00272DB6"/>
    <w:rsid w:val="002802C9"/>
    <w:rsid w:val="002862A4"/>
    <w:rsid w:val="002A392E"/>
    <w:rsid w:val="002C17E7"/>
    <w:rsid w:val="002C3318"/>
    <w:rsid w:val="002D41E8"/>
    <w:rsid w:val="002E55B4"/>
    <w:rsid w:val="002F61EC"/>
    <w:rsid w:val="002F7A09"/>
    <w:rsid w:val="00310376"/>
    <w:rsid w:val="00311723"/>
    <w:rsid w:val="003123C3"/>
    <w:rsid w:val="0031411C"/>
    <w:rsid w:val="00331AFF"/>
    <w:rsid w:val="00340493"/>
    <w:rsid w:val="00345AFA"/>
    <w:rsid w:val="003500C6"/>
    <w:rsid w:val="003521DC"/>
    <w:rsid w:val="00354AC8"/>
    <w:rsid w:val="00354D90"/>
    <w:rsid w:val="00355923"/>
    <w:rsid w:val="00363140"/>
    <w:rsid w:val="003644E7"/>
    <w:rsid w:val="003649AB"/>
    <w:rsid w:val="00365388"/>
    <w:rsid w:val="00373F8D"/>
    <w:rsid w:val="0039156C"/>
    <w:rsid w:val="003948CB"/>
    <w:rsid w:val="00396BBA"/>
    <w:rsid w:val="003A7DC7"/>
    <w:rsid w:val="003B07DF"/>
    <w:rsid w:val="003B1F3C"/>
    <w:rsid w:val="003B4EB4"/>
    <w:rsid w:val="003D5402"/>
    <w:rsid w:val="003D7F56"/>
    <w:rsid w:val="003E1FB5"/>
    <w:rsid w:val="003E3C69"/>
    <w:rsid w:val="003F70AB"/>
    <w:rsid w:val="003F749D"/>
    <w:rsid w:val="0041136C"/>
    <w:rsid w:val="0041270E"/>
    <w:rsid w:val="00431B38"/>
    <w:rsid w:val="00443E9F"/>
    <w:rsid w:val="00451633"/>
    <w:rsid w:val="00454A5E"/>
    <w:rsid w:val="0046771C"/>
    <w:rsid w:val="00480565"/>
    <w:rsid w:val="00480F98"/>
    <w:rsid w:val="00493EDB"/>
    <w:rsid w:val="004B241B"/>
    <w:rsid w:val="004B35DA"/>
    <w:rsid w:val="004B4E2C"/>
    <w:rsid w:val="004B5AF6"/>
    <w:rsid w:val="004C3AB4"/>
    <w:rsid w:val="004C5DC2"/>
    <w:rsid w:val="004E6530"/>
    <w:rsid w:val="004F0FC6"/>
    <w:rsid w:val="004F5754"/>
    <w:rsid w:val="004F7602"/>
    <w:rsid w:val="004F7A15"/>
    <w:rsid w:val="005004D4"/>
    <w:rsid w:val="00505DFC"/>
    <w:rsid w:val="00505E1B"/>
    <w:rsid w:val="00507848"/>
    <w:rsid w:val="00526FB1"/>
    <w:rsid w:val="005327F1"/>
    <w:rsid w:val="00535DE5"/>
    <w:rsid w:val="00541E5C"/>
    <w:rsid w:val="00542F24"/>
    <w:rsid w:val="00547E53"/>
    <w:rsid w:val="00551456"/>
    <w:rsid w:val="00552C72"/>
    <w:rsid w:val="00553092"/>
    <w:rsid w:val="00560E90"/>
    <w:rsid w:val="00574B2B"/>
    <w:rsid w:val="00583589"/>
    <w:rsid w:val="005861D4"/>
    <w:rsid w:val="00586FE5"/>
    <w:rsid w:val="00587B87"/>
    <w:rsid w:val="00591C69"/>
    <w:rsid w:val="005A1DB7"/>
    <w:rsid w:val="005A2C27"/>
    <w:rsid w:val="005B4601"/>
    <w:rsid w:val="005C04F9"/>
    <w:rsid w:val="005C0FDD"/>
    <w:rsid w:val="005C216A"/>
    <w:rsid w:val="005C632C"/>
    <w:rsid w:val="005D144D"/>
    <w:rsid w:val="005D4A32"/>
    <w:rsid w:val="005E3A00"/>
    <w:rsid w:val="00601947"/>
    <w:rsid w:val="006048E3"/>
    <w:rsid w:val="0061007B"/>
    <w:rsid w:val="006127F1"/>
    <w:rsid w:val="00613D18"/>
    <w:rsid w:val="006269FF"/>
    <w:rsid w:val="00626F42"/>
    <w:rsid w:val="00627420"/>
    <w:rsid w:val="00631819"/>
    <w:rsid w:val="00632F1C"/>
    <w:rsid w:val="00636FE3"/>
    <w:rsid w:val="00637019"/>
    <w:rsid w:val="00657FD9"/>
    <w:rsid w:val="006619D3"/>
    <w:rsid w:val="00663A28"/>
    <w:rsid w:val="00672138"/>
    <w:rsid w:val="0067248E"/>
    <w:rsid w:val="006779C9"/>
    <w:rsid w:val="00684747"/>
    <w:rsid w:val="0069261B"/>
    <w:rsid w:val="00695F7C"/>
    <w:rsid w:val="006973A2"/>
    <w:rsid w:val="006A0290"/>
    <w:rsid w:val="006A620B"/>
    <w:rsid w:val="006B0C82"/>
    <w:rsid w:val="006B1D5B"/>
    <w:rsid w:val="006B3F1F"/>
    <w:rsid w:val="006B6CD7"/>
    <w:rsid w:val="006D6F59"/>
    <w:rsid w:val="006E401D"/>
    <w:rsid w:val="006F61A5"/>
    <w:rsid w:val="006F7E70"/>
    <w:rsid w:val="00701A41"/>
    <w:rsid w:val="007031CC"/>
    <w:rsid w:val="007078B9"/>
    <w:rsid w:val="00725786"/>
    <w:rsid w:val="007268BF"/>
    <w:rsid w:val="007345A3"/>
    <w:rsid w:val="00734875"/>
    <w:rsid w:val="007476E9"/>
    <w:rsid w:val="00752A83"/>
    <w:rsid w:val="00761FD3"/>
    <w:rsid w:val="00764F75"/>
    <w:rsid w:val="00765AB4"/>
    <w:rsid w:val="00770435"/>
    <w:rsid w:val="00775264"/>
    <w:rsid w:val="00782280"/>
    <w:rsid w:val="00782567"/>
    <w:rsid w:val="00787807"/>
    <w:rsid w:val="00792847"/>
    <w:rsid w:val="007A43F0"/>
    <w:rsid w:val="007C67B0"/>
    <w:rsid w:val="007C7E48"/>
    <w:rsid w:val="007E174B"/>
    <w:rsid w:val="007E587A"/>
    <w:rsid w:val="007F61EF"/>
    <w:rsid w:val="007F645F"/>
    <w:rsid w:val="008048E4"/>
    <w:rsid w:val="00813377"/>
    <w:rsid w:val="008134A2"/>
    <w:rsid w:val="00814DAB"/>
    <w:rsid w:val="00853A06"/>
    <w:rsid w:val="00855456"/>
    <w:rsid w:val="008639E0"/>
    <w:rsid w:val="0088145B"/>
    <w:rsid w:val="0088607F"/>
    <w:rsid w:val="00890225"/>
    <w:rsid w:val="00890771"/>
    <w:rsid w:val="008C3181"/>
    <w:rsid w:val="008C36CD"/>
    <w:rsid w:val="008C36F5"/>
    <w:rsid w:val="008C41ED"/>
    <w:rsid w:val="008C4608"/>
    <w:rsid w:val="008D07FD"/>
    <w:rsid w:val="008E486A"/>
    <w:rsid w:val="008F5D99"/>
    <w:rsid w:val="00901095"/>
    <w:rsid w:val="0090145C"/>
    <w:rsid w:val="00904A50"/>
    <w:rsid w:val="00912676"/>
    <w:rsid w:val="0091609A"/>
    <w:rsid w:val="00916282"/>
    <w:rsid w:val="00920E1F"/>
    <w:rsid w:val="00923416"/>
    <w:rsid w:val="009375E5"/>
    <w:rsid w:val="009401A6"/>
    <w:rsid w:val="009402CA"/>
    <w:rsid w:val="00954859"/>
    <w:rsid w:val="00971601"/>
    <w:rsid w:val="009863CF"/>
    <w:rsid w:val="00991F2D"/>
    <w:rsid w:val="00992D8D"/>
    <w:rsid w:val="009A62ED"/>
    <w:rsid w:val="009D0E6F"/>
    <w:rsid w:val="009D20B6"/>
    <w:rsid w:val="009E3B95"/>
    <w:rsid w:val="009F2B73"/>
    <w:rsid w:val="00A03CDD"/>
    <w:rsid w:val="00A1173C"/>
    <w:rsid w:val="00A31415"/>
    <w:rsid w:val="00A3272B"/>
    <w:rsid w:val="00A45CEE"/>
    <w:rsid w:val="00A56217"/>
    <w:rsid w:val="00A616AC"/>
    <w:rsid w:val="00A62A70"/>
    <w:rsid w:val="00A631A3"/>
    <w:rsid w:val="00A6678D"/>
    <w:rsid w:val="00A71EF6"/>
    <w:rsid w:val="00A72455"/>
    <w:rsid w:val="00A7286E"/>
    <w:rsid w:val="00A729A3"/>
    <w:rsid w:val="00A8132E"/>
    <w:rsid w:val="00A8390A"/>
    <w:rsid w:val="00A92819"/>
    <w:rsid w:val="00AA3065"/>
    <w:rsid w:val="00AA7718"/>
    <w:rsid w:val="00AB2711"/>
    <w:rsid w:val="00AB6E70"/>
    <w:rsid w:val="00AC2B33"/>
    <w:rsid w:val="00AC313D"/>
    <w:rsid w:val="00AC7B51"/>
    <w:rsid w:val="00AC7BE6"/>
    <w:rsid w:val="00AD2DB8"/>
    <w:rsid w:val="00AD339F"/>
    <w:rsid w:val="00AD3AF6"/>
    <w:rsid w:val="00AD6731"/>
    <w:rsid w:val="00AE281B"/>
    <w:rsid w:val="00AE3214"/>
    <w:rsid w:val="00AF347A"/>
    <w:rsid w:val="00B22E18"/>
    <w:rsid w:val="00B26FEF"/>
    <w:rsid w:val="00B309B2"/>
    <w:rsid w:val="00B6454D"/>
    <w:rsid w:val="00B74DB6"/>
    <w:rsid w:val="00B81AE1"/>
    <w:rsid w:val="00B82F58"/>
    <w:rsid w:val="00B85EBD"/>
    <w:rsid w:val="00BA411A"/>
    <w:rsid w:val="00BA57F0"/>
    <w:rsid w:val="00BA714B"/>
    <w:rsid w:val="00BB348C"/>
    <w:rsid w:val="00BC0A27"/>
    <w:rsid w:val="00BD2529"/>
    <w:rsid w:val="00BE132C"/>
    <w:rsid w:val="00C01CC7"/>
    <w:rsid w:val="00C06485"/>
    <w:rsid w:val="00C07EC8"/>
    <w:rsid w:val="00C42DF6"/>
    <w:rsid w:val="00C668FF"/>
    <w:rsid w:val="00C83F7C"/>
    <w:rsid w:val="00C852D4"/>
    <w:rsid w:val="00C90549"/>
    <w:rsid w:val="00C94279"/>
    <w:rsid w:val="00CA14C1"/>
    <w:rsid w:val="00CA1F35"/>
    <w:rsid w:val="00CA5766"/>
    <w:rsid w:val="00CB1DB1"/>
    <w:rsid w:val="00CE28F2"/>
    <w:rsid w:val="00CE7D73"/>
    <w:rsid w:val="00CF2A42"/>
    <w:rsid w:val="00CF66C9"/>
    <w:rsid w:val="00D10462"/>
    <w:rsid w:val="00D12810"/>
    <w:rsid w:val="00D155A0"/>
    <w:rsid w:val="00D170CB"/>
    <w:rsid w:val="00D32315"/>
    <w:rsid w:val="00D32E62"/>
    <w:rsid w:val="00D3324C"/>
    <w:rsid w:val="00D35A27"/>
    <w:rsid w:val="00D45340"/>
    <w:rsid w:val="00D547AD"/>
    <w:rsid w:val="00D60500"/>
    <w:rsid w:val="00D60FA7"/>
    <w:rsid w:val="00D65617"/>
    <w:rsid w:val="00D84763"/>
    <w:rsid w:val="00D90F52"/>
    <w:rsid w:val="00D93431"/>
    <w:rsid w:val="00DB7B90"/>
    <w:rsid w:val="00DE1746"/>
    <w:rsid w:val="00DE3B36"/>
    <w:rsid w:val="00DE4BFC"/>
    <w:rsid w:val="00E21718"/>
    <w:rsid w:val="00E245C8"/>
    <w:rsid w:val="00E24FCD"/>
    <w:rsid w:val="00E309BC"/>
    <w:rsid w:val="00E31A7A"/>
    <w:rsid w:val="00E343AD"/>
    <w:rsid w:val="00E35232"/>
    <w:rsid w:val="00E357DC"/>
    <w:rsid w:val="00E35A4C"/>
    <w:rsid w:val="00E4728D"/>
    <w:rsid w:val="00E600C0"/>
    <w:rsid w:val="00E64DDD"/>
    <w:rsid w:val="00E65B32"/>
    <w:rsid w:val="00E6663A"/>
    <w:rsid w:val="00E66CCF"/>
    <w:rsid w:val="00E833F8"/>
    <w:rsid w:val="00E83C9D"/>
    <w:rsid w:val="00EA2FD2"/>
    <w:rsid w:val="00EB3CF4"/>
    <w:rsid w:val="00EC54AB"/>
    <w:rsid w:val="00ED3D60"/>
    <w:rsid w:val="00EE16AA"/>
    <w:rsid w:val="00EE4CD1"/>
    <w:rsid w:val="00EF53FE"/>
    <w:rsid w:val="00EF561D"/>
    <w:rsid w:val="00F01986"/>
    <w:rsid w:val="00F100EF"/>
    <w:rsid w:val="00F27097"/>
    <w:rsid w:val="00F311C1"/>
    <w:rsid w:val="00F32CE1"/>
    <w:rsid w:val="00F369CB"/>
    <w:rsid w:val="00F41687"/>
    <w:rsid w:val="00F41A0E"/>
    <w:rsid w:val="00F5437C"/>
    <w:rsid w:val="00F56305"/>
    <w:rsid w:val="00F70FB2"/>
    <w:rsid w:val="00F71803"/>
    <w:rsid w:val="00F80394"/>
    <w:rsid w:val="00F82DC3"/>
    <w:rsid w:val="00F90E70"/>
    <w:rsid w:val="00FA1B14"/>
    <w:rsid w:val="00FA519E"/>
    <w:rsid w:val="00FB45A7"/>
    <w:rsid w:val="00FB5FFE"/>
    <w:rsid w:val="00FC1964"/>
    <w:rsid w:val="00FC5A94"/>
    <w:rsid w:val="00FC5AB6"/>
    <w:rsid w:val="00FD08E5"/>
    <w:rsid w:val="00FD3E2C"/>
    <w:rsid w:val="00FD4B4B"/>
    <w:rsid w:val="00FF1C17"/>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B9494D"/>
  <w15:docId w15:val="{6726CFCB-CB14-4644-B1F8-F555ECBE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宋体"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jc w:val="both"/>
    </w:pPr>
    <w:rPr>
      <w:rFonts w:ascii="Times New Roman" w:eastAsia="Times New Roman" w:hAnsi="Times New Roman"/>
    </w:rPr>
  </w:style>
  <w:style w:type="paragraph" w:styleId="1">
    <w:name w:val="heading 1"/>
    <w:basedOn w:val="a"/>
    <w:next w:val="a"/>
    <w:qFormat/>
    <w:pPr>
      <w:keepNext/>
      <w:keepLines/>
      <w:spacing w:before="120" w:after="0"/>
      <w:outlineLvl w:val="0"/>
    </w:pPr>
    <w:rPr>
      <w:rFonts w:ascii="Arial" w:hAnsi="Arial"/>
      <w:b/>
      <w:caps/>
      <w:kern w:val="32"/>
      <w:sz w:val="18"/>
    </w:rPr>
  </w:style>
  <w:style w:type="paragraph" w:styleId="2">
    <w:name w:val="heading 2"/>
    <w:basedOn w:val="1"/>
    <w:next w:val="a"/>
    <w:qFormat/>
    <w:pPr>
      <w:outlineLvl w:val="1"/>
    </w:pPr>
    <w:rPr>
      <w:caps w:val="0"/>
    </w:rPr>
  </w:style>
  <w:style w:type="paragraph" w:styleId="3">
    <w:name w:val="heading 3"/>
    <w:basedOn w:val="2"/>
    <w:next w:val="a"/>
    <w:qFormat/>
    <w:pPr>
      <w:outlineLvl w:val="2"/>
    </w:pPr>
    <w:rPr>
      <w:b w:val="0"/>
      <w:i/>
    </w:rPr>
  </w:style>
  <w:style w:type="paragraph" w:styleId="4">
    <w:name w:val="heading 4"/>
    <w:basedOn w:val="a"/>
    <w:next w:val="a"/>
    <w:qFormat/>
    <w:pPr>
      <w:keepNext/>
      <w:numPr>
        <w:ilvl w:val="3"/>
        <w:numId w:val="23"/>
      </w:numPr>
      <w:spacing w:before="240" w:after="60"/>
      <w:outlineLvl w:val="3"/>
    </w:pPr>
    <w:rPr>
      <w:b/>
      <w:sz w:val="28"/>
    </w:rPr>
  </w:style>
  <w:style w:type="paragraph" w:styleId="5">
    <w:name w:val="heading 5"/>
    <w:basedOn w:val="a"/>
    <w:next w:val="a"/>
    <w:pPr>
      <w:numPr>
        <w:ilvl w:val="4"/>
        <w:numId w:val="23"/>
      </w:numPr>
      <w:spacing w:before="240" w:after="60"/>
      <w:outlineLvl w:val="4"/>
    </w:pPr>
    <w:rPr>
      <w:b/>
      <w:i/>
      <w:sz w:val="26"/>
    </w:rPr>
  </w:style>
  <w:style w:type="paragraph" w:styleId="6">
    <w:name w:val="heading 6"/>
    <w:basedOn w:val="a"/>
    <w:next w:val="a"/>
    <w:pPr>
      <w:numPr>
        <w:ilvl w:val="5"/>
        <w:numId w:val="23"/>
      </w:numPr>
      <w:spacing w:before="240" w:after="60"/>
      <w:outlineLvl w:val="5"/>
    </w:pPr>
    <w:rPr>
      <w:b/>
      <w:sz w:val="22"/>
    </w:rPr>
  </w:style>
  <w:style w:type="paragraph" w:styleId="7">
    <w:name w:val="heading 7"/>
    <w:basedOn w:val="a"/>
    <w:next w:val="a"/>
    <w:pPr>
      <w:numPr>
        <w:ilvl w:val="6"/>
        <w:numId w:val="23"/>
      </w:numPr>
      <w:spacing w:before="240" w:after="60"/>
      <w:outlineLvl w:val="6"/>
    </w:pPr>
  </w:style>
  <w:style w:type="paragraph" w:styleId="8">
    <w:name w:val="heading 8"/>
    <w:basedOn w:val="a"/>
    <w:next w:val="a"/>
    <w:pPr>
      <w:numPr>
        <w:ilvl w:val="7"/>
        <w:numId w:val="23"/>
      </w:numPr>
      <w:spacing w:before="240" w:after="60"/>
      <w:outlineLvl w:val="7"/>
    </w:pPr>
    <w:rPr>
      <w:i/>
    </w:rPr>
  </w:style>
  <w:style w:type="paragraph" w:styleId="9">
    <w:name w:val="heading 9"/>
    <w:basedOn w:val="a"/>
    <w:next w:val="a"/>
    <w:pPr>
      <w:numPr>
        <w:ilvl w:val="8"/>
        <w:numId w:val="23"/>
      </w:numPr>
      <w:spacing w:before="240" w:after="60"/>
      <w:outlineLvl w:val="8"/>
    </w:pPr>
    <w:rPr>
      <w:rFonts w:ascii="Arial" w:hAnsi="Arial"/>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320"/>
        <w:tab w:val="right" w:pos="8640"/>
      </w:tabs>
    </w:pPr>
  </w:style>
  <w:style w:type="paragraph" w:customStyle="1" w:styleId="quotation">
    <w:name w:val="quotation"/>
    <w:basedOn w:val="a"/>
    <w:qFormat/>
    <w:rsid w:val="007268BF"/>
    <w:pPr>
      <w:ind w:left="284" w:right="146"/>
    </w:pPr>
    <w:rPr>
      <w:lang w:val="en-NZ"/>
    </w:rPr>
  </w:style>
  <w:style w:type="paragraph" w:styleId="a4">
    <w:name w:val="Title"/>
    <w:basedOn w:val="a"/>
    <w:qFormat/>
    <w:pPr>
      <w:spacing w:before="100" w:beforeAutospacing="1"/>
      <w:jc w:val="center"/>
      <w:outlineLvl w:val="0"/>
    </w:pPr>
    <w:rPr>
      <w:rFonts w:ascii="Arial" w:hAnsi="Arial"/>
      <w:b/>
      <w:kern w:val="28"/>
      <w:sz w:val="36"/>
    </w:rPr>
  </w:style>
  <w:style w:type="paragraph" w:styleId="a5">
    <w:name w:val="caption"/>
    <w:basedOn w:val="a"/>
    <w:next w:val="a"/>
    <w:qFormat/>
    <w:rsid w:val="006B6CD7"/>
    <w:pPr>
      <w:spacing w:before="60"/>
    </w:pPr>
    <w:rPr>
      <w:b/>
      <w:sz w:val="18"/>
    </w:rPr>
  </w:style>
  <w:style w:type="paragraph" w:styleId="a6">
    <w:name w:val="annotation text"/>
    <w:basedOn w:val="a"/>
    <w:semiHidden/>
  </w:style>
  <w:style w:type="paragraph" w:styleId="a7">
    <w:name w:val="Document Map"/>
    <w:basedOn w:val="a"/>
    <w:semiHidden/>
    <w:pPr>
      <w:shd w:val="clear" w:color="auto" w:fill="000080"/>
    </w:pPr>
    <w:rPr>
      <w:rFonts w:ascii="Tahoma" w:hAnsi="Tahoma"/>
    </w:rPr>
  </w:style>
  <w:style w:type="paragraph" w:styleId="a8">
    <w:name w:val="footnote text"/>
    <w:basedOn w:val="a"/>
    <w:semiHidden/>
    <w:pPr>
      <w:tabs>
        <w:tab w:val="left" w:pos="360"/>
      </w:tabs>
    </w:pPr>
  </w:style>
  <w:style w:type="paragraph" w:styleId="10">
    <w:name w:val="index 1"/>
    <w:basedOn w:val="a"/>
    <w:next w:val="a"/>
    <w:autoRedefine/>
    <w:semiHidden/>
    <w:pPr>
      <w:ind w:left="240" w:hanging="240"/>
    </w:pPr>
  </w:style>
  <w:style w:type="paragraph" w:styleId="20">
    <w:name w:val="index 2"/>
    <w:basedOn w:val="a"/>
    <w:next w:val="a"/>
    <w:autoRedefine/>
    <w:semiHidden/>
    <w:pPr>
      <w:ind w:left="480" w:hanging="240"/>
    </w:pPr>
  </w:style>
  <w:style w:type="paragraph" w:styleId="30">
    <w:name w:val="index 3"/>
    <w:basedOn w:val="a"/>
    <w:next w:val="a"/>
    <w:autoRedefine/>
    <w:semiHidden/>
    <w:pPr>
      <w:ind w:left="720" w:hanging="240"/>
    </w:pPr>
  </w:style>
  <w:style w:type="paragraph" w:styleId="40">
    <w:name w:val="index 4"/>
    <w:basedOn w:val="a"/>
    <w:next w:val="a"/>
    <w:autoRedefine/>
    <w:semiHidden/>
    <w:pPr>
      <w:ind w:left="960" w:hanging="240"/>
    </w:pPr>
  </w:style>
  <w:style w:type="paragraph" w:styleId="50">
    <w:name w:val="index 5"/>
    <w:basedOn w:val="a"/>
    <w:next w:val="a"/>
    <w:autoRedefine/>
    <w:semiHidden/>
    <w:pPr>
      <w:ind w:left="1200" w:hanging="240"/>
    </w:pPr>
  </w:style>
  <w:style w:type="paragraph" w:styleId="60">
    <w:name w:val="index 6"/>
    <w:basedOn w:val="a"/>
    <w:next w:val="a"/>
    <w:autoRedefine/>
    <w:semiHidden/>
    <w:pPr>
      <w:ind w:left="1440" w:hanging="240"/>
    </w:pPr>
  </w:style>
  <w:style w:type="paragraph" w:styleId="70">
    <w:name w:val="index 7"/>
    <w:basedOn w:val="a"/>
    <w:next w:val="a"/>
    <w:autoRedefine/>
    <w:semiHidden/>
    <w:pPr>
      <w:ind w:left="1680" w:hanging="240"/>
    </w:pPr>
  </w:style>
  <w:style w:type="paragraph" w:styleId="80">
    <w:name w:val="index 8"/>
    <w:basedOn w:val="a"/>
    <w:next w:val="a"/>
    <w:autoRedefine/>
    <w:semiHidden/>
    <w:pPr>
      <w:ind w:left="1920" w:hanging="240"/>
    </w:pPr>
  </w:style>
  <w:style w:type="paragraph" w:styleId="90">
    <w:name w:val="index 9"/>
    <w:basedOn w:val="a"/>
    <w:next w:val="a"/>
    <w:autoRedefine/>
    <w:semiHidden/>
    <w:pPr>
      <w:ind w:left="2160" w:hanging="240"/>
    </w:pPr>
  </w:style>
  <w:style w:type="paragraph" w:styleId="a9">
    <w:name w:val="index heading"/>
    <w:basedOn w:val="a"/>
    <w:next w:val="10"/>
    <w:semiHidden/>
    <w:rPr>
      <w:rFonts w:ascii="Arial" w:hAnsi="Arial"/>
      <w:b/>
    </w:rPr>
  </w:style>
  <w:style w:type="paragraph" w:styleId="aa">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ab">
    <w:name w:val="toa heading"/>
    <w:basedOn w:val="a"/>
    <w:next w:val="a"/>
    <w:semiHidden/>
    <w:pPr>
      <w:spacing w:before="120"/>
    </w:pPr>
    <w:rPr>
      <w:rFonts w:ascii="Arial" w:hAnsi="Arial"/>
      <w:b/>
    </w:rPr>
  </w:style>
  <w:style w:type="paragraph" w:styleId="TOC1">
    <w:name w:val="toc 1"/>
    <w:basedOn w:val="a"/>
    <w:next w:val="a"/>
    <w:autoRedefine/>
    <w:semiHidden/>
  </w:style>
  <w:style w:type="paragraph" w:styleId="TOC2">
    <w:name w:val="toc 2"/>
    <w:basedOn w:val="a"/>
    <w:next w:val="a"/>
    <w:autoRedefine/>
    <w:semiHidden/>
    <w:pPr>
      <w:ind w:left="240"/>
    </w:pPr>
  </w:style>
  <w:style w:type="paragraph" w:styleId="TOC3">
    <w:name w:val="toc 3"/>
    <w:basedOn w:val="a"/>
    <w:next w:val="a"/>
    <w:autoRedefine/>
    <w:semiHidden/>
    <w:pPr>
      <w:ind w:left="480"/>
    </w:pPr>
  </w:style>
  <w:style w:type="paragraph" w:styleId="TOC4">
    <w:name w:val="toc 4"/>
    <w:basedOn w:val="a"/>
    <w:next w:val="a"/>
    <w:autoRedefine/>
    <w:semiHidden/>
    <w:pPr>
      <w:ind w:left="720"/>
    </w:pPr>
  </w:style>
  <w:style w:type="paragraph" w:styleId="TOC5">
    <w:name w:val="toc 5"/>
    <w:basedOn w:val="a"/>
    <w:next w:val="a"/>
    <w:autoRedefine/>
    <w:semiHidden/>
    <w:pPr>
      <w:ind w:left="960"/>
    </w:pPr>
  </w:style>
  <w:style w:type="paragraph" w:styleId="TOC6">
    <w:name w:val="toc 6"/>
    <w:basedOn w:val="a"/>
    <w:next w:val="a"/>
    <w:autoRedefine/>
    <w:semiHidden/>
    <w:pPr>
      <w:ind w:left="1200"/>
    </w:pPr>
  </w:style>
  <w:style w:type="paragraph" w:styleId="TOC7">
    <w:name w:val="toc 7"/>
    <w:basedOn w:val="a"/>
    <w:next w:val="a"/>
    <w:autoRedefine/>
    <w:semiHidden/>
    <w:pPr>
      <w:ind w:left="1440"/>
    </w:pPr>
  </w:style>
  <w:style w:type="paragraph" w:styleId="TOC8">
    <w:name w:val="toc 8"/>
    <w:basedOn w:val="a"/>
    <w:next w:val="a"/>
    <w:autoRedefine/>
    <w:semiHidden/>
    <w:pPr>
      <w:ind w:left="1680"/>
    </w:pPr>
  </w:style>
  <w:style w:type="paragraph" w:styleId="TOC9">
    <w:name w:val="toc 9"/>
    <w:basedOn w:val="a"/>
    <w:next w:val="a"/>
    <w:autoRedefine/>
    <w:semiHidden/>
    <w:pPr>
      <w:ind w:left="1920"/>
    </w:pPr>
  </w:style>
  <w:style w:type="character" w:styleId="ac">
    <w:name w:val="footnote reference"/>
    <w:semiHidden/>
    <w:rPr>
      <w:vertAlign w:val="superscript"/>
    </w:rPr>
  </w:style>
  <w:style w:type="paragraph" w:customStyle="1" w:styleId="References">
    <w:name w:val="References"/>
    <w:basedOn w:val="a"/>
    <w:rsid w:val="00853A06"/>
    <w:pPr>
      <w:numPr>
        <w:numId w:val="47"/>
      </w:numPr>
      <w:overflowPunct w:val="0"/>
      <w:autoSpaceDE w:val="0"/>
      <w:autoSpaceDN w:val="0"/>
      <w:adjustRightInd w:val="0"/>
      <w:spacing w:after="80"/>
      <w:jc w:val="left"/>
      <w:textAlignment w:val="baseline"/>
    </w:pPr>
  </w:style>
  <w:style w:type="character" w:styleId="ad">
    <w:name w:val="annotation reference"/>
    <w:semiHidden/>
    <w:rPr>
      <w:sz w:val="16"/>
    </w:rPr>
  </w:style>
  <w:style w:type="character" w:styleId="ae">
    <w:name w:val="Hyperlink"/>
    <w:rsid w:val="00480565"/>
    <w:rPr>
      <w:color w:val="4173AF"/>
      <w:sz w:val="20"/>
      <w:szCs w:val="20"/>
    </w:rPr>
  </w:style>
  <w:style w:type="paragraph" w:customStyle="1" w:styleId="Copyright">
    <w:name w:val="Copyright"/>
    <w:basedOn w:val="a"/>
    <w:pPr>
      <w:framePr w:w="4680" w:h="1977" w:hRule="exact" w:hSpace="187" w:wrap="auto" w:vAnchor="page" w:hAnchor="page" w:x="1155" w:y="12605" w:anchorLock="1"/>
      <w:spacing w:after="0"/>
    </w:pPr>
    <w:rPr>
      <w:sz w:val="16"/>
    </w:rPr>
  </w:style>
  <w:style w:type="paragraph" w:customStyle="1" w:styleId="TableText">
    <w:name w:val="Table Text"/>
    <w:basedOn w:val="a"/>
    <w:rsid w:val="00D90F52"/>
    <w:pPr>
      <w:keepLines/>
      <w:spacing w:before="40" w:after="40"/>
      <w:jc w:val="center"/>
    </w:pPr>
  </w:style>
  <w:style w:type="paragraph" w:styleId="af">
    <w:name w:val="annotation subject"/>
    <w:basedOn w:val="a6"/>
    <w:next w:val="a6"/>
    <w:semiHidden/>
    <w:rsid w:val="006D66A4"/>
    <w:rPr>
      <w:b/>
      <w:bCs/>
    </w:rPr>
  </w:style>
  <w:style w:type="paragraph" w:styleId="af0">
    <w:name w:val="Balloon Text"/>
    <w:basedOn w:val="a"/>
    <w:semiHidden/>
    <w:rsid w:val="006D66A4"/>
    <w:rPr>
      <w:rFonts w:ascii="Tahoma" w:hAnsi="Tahoma" w:cs="Tahoma"/>
      <w:sz w:val="16"/>
      <w:szCs w:val="16"/>
    </w:rPr>
  </w:style>
  <w:style w:type="paragraph" w:customStyle="1" w:styleId="AuthorName">
    <w:name w:val="Author Name"/>
    <w:basedOn w:val="a"/>
    <w:link w:val="AuthorNameChar"/>
    <w:qFormat/>
    <w:rsid w:val="008E486A"/>
    <w:pPr>
      <w:spacing w:after="0"/>
      <w:jc w:val="center"/>
    </w:pPr>
    <w:rPr>
      <w:b/>
      <w:color w:val="000000"/>
      <w:sz w:val="24"/>
    </w:rPr>
  </w:style>
  <w:style w:type="paragraph" w:customStyle="1" w:styleId="AuthorAffiliation">
    <w:name w:val="Author Affiliation"/>
    <w:basedOn w:val="a"/>
    <w:link w:val="AuthorAffiliationChar"/>
    <w:qFormat/>
    <w:rsid w:val="00E6663A"/>
    <w:pPr>
      <w:spacing w:after="0"/>
      <w:jc w:val="center"/>
    </w:pPr>
    <w:rPr>
      <w:color w:val="000000"/>
      <w:sz w:val="24"/>
    </w:rPr>
  </w:style>
  <w:style w:type="character" w:customStyle="1" w:styleId="AuthorNameChar">
    <w:name w:val="Author Name Char"/>
    <w:basedOn w:val="a0"/>
    <w:link w:val="AuthorName"/>
    <w:rsid w:val="008E486A"/>
    <w:rPr>
      <w:rFonts w:ascii="Times New Roman" w:eastAsia="Times New Roman" w:hAnsi="Times New Roman"/>
      <w:b/>
      <w:color w:val="000000"/>
      <w:sz w:val="24"/>
    </w:rPr>
  </w:style>
  <w:style w:type="paragraph" w:customStyle="1" w:styleId="StyleDescription">
    <w:name w:val="Style Description"/>
    <w:basedOn w:val="a"/>
    <w:link w:val="StyleDescriptionChar"/>
    <w:qFormat/>
    <w:rsid w:val="005A2C27"/>
    <w:rPr>
      <w:rFonts w:ascii="Courier New" w:hAnsi="Courier New"/>
      <w:sz w:val="18"/>
    </w:rPr>
  </w:style>
  <w:style w:type="character" w:customStyle="1" w:styleId="AuthorAffiliationChar">
    <w:name w:val="Author Affiliation Char"/>
    <w:basedOn w:val="a0"/>
    <w:link w:val="AuthorAffiliation"/>
    <w:rsid w:val="00E6663A"/>
    <w:rPr>
      <w:rFonts w:ascii="Times New Roman" w:eastAsia="Times New Roman" w:hAnsi="Times New Roman"/>
      <w:b w:val="0"/>
      <w:color w:val="000000"/>
      <w:sz w:val="24"/>
    </w:rPr>
  </w:style>
  <w:style w:type="character" w:customStyle="1" w:styleId="StyleDescriptionChar">
    <w:name w:val="Style Description Char"/>
    <w:basedOn w:val="a0"/>
    <w:link w:val="StyleDescription"/>
    <w:rsid w:val="005A2C27"/>
    <w:rPr>
      <w:rFonts w:ascii="Courier New" w:eastAsia="Times New Roman" w:hAnsi="Courier New"/>
      <w:sz w:val="18"/>
    </w:rPr>
  </w:style>
  <w:style w:type="paragraph" w:customStyle="1" w:styleId="Bullet">
    <w:name w:val="Bullet"/>
    <w:basedOn w:val="a"/>
    <w:rsid w:val="00107A38"/>
    <w:pPr>
      <w:numPr>
        <w:numId w:val="31"/>
      </w:numPr>
      <w:tabs>
        <w:tab w:val="clear" w:pos="720"/>
        <w:tab w:val="left" w:pos="180"/>
      </w:tabs>
      <w:overflowPunct w:val="0"/>
      <w:autoSpaceDE w:val="0"/>
      <w:autoSpaceDN w:val="0"/>
      <w:adjustRightInd w:val="0"/>
      <w:spacing w:after="80"/>
      <w:ind w:left="180" w:hanging="180"/>
      <w:textAlignment w:val="baseline"/>
    </w:pPr>
  </w:style>
  <w:style w:type="paragraph" w:styleId="af1">
    <w:name w:val="List Paragraph"/>
    <w:basedOn w:val="a"/>
    <w:uiPriority w:val="34"/>
    <w:qFormat/>
    <w:rsid w:val="00574B2B"/>
    <w:pPr>
      <w:ind w:left="720"/>
      <w:contextualSpacing/>
    </w:pPr>
  </w:style>
  <w:style w:type="character" w:styleId="af2">
    <w:name w:val="FollowedHyperlink"/>
    <w:basedOn w:val="a0"/>
    <w:uiPriority w:val="99"/>
    <w:semiHidden/>
    <w:unhideWhenUsed/>
    <w:rsid w:val="007752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9552">
      <w:bodyDiv w:val="1"/>
      <w:marLeft w:val="0"/>
      <w:marRight w:val="0"/>
      <w:marTop w:val="0"/>
      <w:marBottom w:val="0"/>
      <w:divBdr>
        <w:top w:val="none" w:sz="0" w:space="0" w:color="auto"/>
        <w:left w:val="none" w:sz="0" w:space="0" w:color="auto"/>
        <w:bottom w:val="none" w:sz="0" w:space="0" w:color="auto"/>
        <w:right w:val="none" w:sz="0" w:space="0" w:color="auto"/>
      </w:divBdr>
      <w:divsChild>
        <w:div w:id="789675">
          <w:marLeft w:val="0"/>
          <w:marRight w:val="0"/>
          <w:marTop w:val="0"/>
          <w:marBottom w:val="0"/>
          <w:divBdr>
            <w:top w:val="none" w:sz="0" w:space="0" w:color="auto"/>
            <w:left w:val="none" w:sz="0" w:space="0" w:color="auto"/>
            <w:bottom w:val="none" w:sz="0" w:space="0" w:color="auto"/>
            <w:right w:val="none" w:sz="0" w:space="0" w:color="auto"/>
          </w:divBdr>
          <w:divsChild>
            <w:div w:id="297607327">
              <w:marLeft w:val="0"/>
              <w:marRight w:val="0"/>
              <w:marTop w:val="0"/>
              <w:marBottom w:val="0"/>
              <w:divBdr>
                <w:top w:val="none" w:sz="0" w:space="0" w:color="auto"/>
                <w:left w:val="none" w:sz="0" w:space="0" w:color="auto"/>
                <w:bottom w:val="none" w:sz="0" w:space="0" w:color="auto"/>
                <w:right w:val="none" w:sz="0" w:space="0" w:color="auto"/>
              </w:divBdr>
              <w:divsChild>
                <w:div w:id="19107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415908352">
      <w:bodyDiv w:val="1"/>
      <w:marLeft w:val="0"/>
      <w:marRight w:val="0"/>
      <w:marTop w:val="0"/>
      <w:marBottom w:val="0"/>
      <w:divBdr>
        <w:top w:val="none" w:sz="0" w:space="0" w:color="auto"/>
        <w:left w:val="none" w:sz="0" w:space="0" w:color="auto"/>
        <w:bottom w:val="none" w:sz="0" w:space="0" w:color="auto"/>
        <w:right w:val="none" w:sz="0" w:space="0" w:color="auto"/>
      </w:divBdr>
      <w:divsChild>
        <w:div w:id="1167136510">
          <w:marLeft w:val="0"/>
          <w:marRight w:val="0"/>
          <w:marTop w:val="0"/>
          <w:marBottom w:val="0"/>
          <w:divBdr>
            <w:top w:val="none" w:sz="0" w:space="0" w:color="auto"/>
            <w:left w:val="none" w:sz="0" w:space="0" w:color="auto"/>
            <w:bottom w:val="none" w:sz="0" w:space="0" w:color="auto"/>
            <w:right w:val="none" w:sz="0" w:space="0" w:color="auto"/>
          </w:divBdr>
          <w:divsChild>
            <w:div w:id="2090618907">
              <w:marLeft w:val="0"/>
              <w:marRight w:val="0"/>
              <w:marTop w:val="0"/>
              <w:marBottom w:val="0"/>
              <w:divBdr>
                <w:top w:val="none" w:sz="0" w:space="0" w:color="auto"/>
                <w:left w:val="none" w:sz="0" w:space="0" w:color="auto"/>
                <w:bottom w:val="none" w:sz="0" w:space="0" w:color="auto"/>
                <w:right w:val="none" w:sz="0" w:space="0" w:color="auto"/>
              </w:divBdr>
              <w:divsChild>
                <w:div w:id="15888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309358319">
      <w:bodyDiv w:val="1"/>
      <w:marLeft w:val="0"/>
      <w:marRight w:val="0"/>
      <w:marTop w:val="0"/>
      <w:marBottom w:val="0"/>
      <w:divBdr>
        <w:top w:val="none" w:sz="0" w:space="0" w:color="auto"/>
        <w:left w:val="none" w:sz="0" w:space="0" w:color="auto"/>
        <w:bottom w:val="none" w:sz="0" w:space="0" w:color="auto"/>
        <w:right w:val="none" w:sz="0" w:space="0" w:color="auto"/>
      </w:divBdr>
      <w:divsChild>
        <w:div w:id="1397052497">
          <w:marLeft w:val="0"/>
          <w:marRight w:val="0"/>
          <w:marTop w:val="0"/>
          <w:marBottom w:val="0"/>
          <w:divBdr>
            <w:top w:val="none" w:sz="0" w:space="0" w:color="auto"/>
            <w:left w:val="none" w:sz="0" w:space="0" w:color="auto"/>
            <w:bottom w:val="none" w:sz="0" w:space="0" w:color="auto"/>
            <w:right w:val="none" w:sz="0" w:space="0" w:color="auto"/>
          </w:divBdr>
          <w:divsChild>
            <w:div w:id="161046046">
              <w:marLeft w:val="0"/>
              <w:marRight w:val="0"/>
              <w:marTop w:val="0"/>
              <w:marBottom w:val="0"/>
              <w:divBdr>
                <w:top w:val="none" w:sz="0" w:space="0" w:color="auto"/>
                <w:left w:val="none" w:sz="0" w:space="0" w:color="auto"/>
                <w:bottom w:val="none" w:sz="0" w:space="0" w:color="auto"/>
                <w:right w:val="none" w:sz="0" w:space="0" w:color="auto"/>
              </w:divBdr>
              <w:divsChild>
                <w:div w:id="81240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6BA5C-C58F-EC45-A61C-31BD5A879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2369</TotalTime>
  <Pages>9</Pages>
  <Words>6704</Words>
  <Characters>38218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SIGCHI Conference Paper Format</vt:lpstr>
    </vt:vector>
  </TitlesOfParts>
  <Company>ACM</Company>
  <LinksUpToDate>false</LinksUpToDate>
  <CharactersWithSpaces>44833</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SIGCHI Conference Paper Format</dc:title>
  <dc:subject/>
  <dc:creator>SIGCHI</dc:creator>
  <cp:keywords>Guides, instructions, Author's kit, Conference Publications</cp:keywords>
  <dc:description/>
  <cp:lastModifiedBy>厚泽 金</cp:lastModifiedBy>
  <cp:revision>1</cp:revision>
  <cp:lastPrinted>2018-11-28T12:49:00Z</cp:lastPrinted>
  <dcterms:created xsi:type="dcterms:W3CDTF">2026-03-10T05:33:00Z</dcterms:created>
  <dcterms:modified xsi:type="dcterms:W3CDTF">2026-03-17T15:18:00Z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ies>
</file>