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720" w:after="280"/>
        <w:jc w:val="center"/>
      </w:pPr>
      <w:r>
        <w:rPr>
          <w:rFonts w:ascii="Noto Serif CJK SC" w:hAnsi="Noto Serif CJK SC" w:eastAsia="Noto Serif CJK SC"/>
          <w:b/>
          <w:color w:val="18345D"/>
          <w:sz w:val="36"/>
        </w:rPr>
        <w:t>TrajScale：面向高效高分辨率视频生成的</w:t>
        <w:br/>
        <w:t>解耦式混合分辨率采样</w:t>
      </w:r>
    </w:p>
    <w:p>
      <w:pPr>
        <w:jc w:val="center"/>
      </w:pPr>
      <w:r>
        <w:rPr>
          <w:rFonts w:ascii="Noto Serif CJK SC" w:hAnsi="Noto Serif CJK SC" w:eastAsia="Noto Serif CJK SC"/>
          <w:sz w:val="22"/>
        </w:rPr>
        <w:t>匿名投稿</w:t>
      </w:r>
    </w:p>
    <w:p>
      <w:pPr>
        <w:spacing w:before="240" w:after="240"/>
        <w:jc w:val="center"/>
      </w:pPr>
      <w:r>
        <w:rPr>
          <w:rFonts w:ascii="Noto Sans CJK SC" w:hAnsi="Noto Sans CJK SC" w:eastAsia="Noto Sans CJK SC"/>
          <w:b/>
          <w:color w:val="5A5A5A"/>
          <w:sz w:val="24"/>
        </w:rPr>
        <w:t>中文全文翻译</w:t>
      </w:r>
    </w:p>
    <w:tbl>
      <w:tblPr>
        <w:tblStyle w:val="TableGrid"/>
        <w:tblW w:type="auto" w:w="0"/>
        <w:jc w:val="center"/>
        <w:tblLook w:firstColumn="1" w:firstRow="1" w:lastColumn="0" w:lastRow="0" w:noHBand="0" w:noVBand="1" w:val="04A0"/>
      </w:tblPr>
      <w:tblGrid>
        <w:gridCol w:w="9412"/>
      </w:tblGrid>
      <w:tr>
        <w:tc>
          <w:tcPr>
            <w:tcW w:type="dxa" w:w="9412"/>
            <w:shd w:fill="F3F5F7"/>
          </w:tcPr>
          <w:p>
            <w:pPr>
              <w:jc w:val="center"/>
            </w:pPr>
            <w:r/>
            <w:r>
              <w:rPr>
                <w:rFonts w:ascii="Noto Serif CJK SC" w:hAnsi="Noto Serif CJK SC" w:eastAsia="Noto Serif CJK SC"/>
                <w:i/>
                <w:sz w:val="18"/>
              </w:rPr>
              <w:t>本文为匿名评审稿，仅供评审使用。严禁分发、引用或公开分享。若论文被接收，版权与出版信息将在最终版本中给出。</w:t>
            </w:r>
          </w:p>
        </w:tc>
      </w:tr>
    </w:tbl>
    <w:p>
      <w:r>
        <w:br w:type="page"/>
      </w:r>
    </w:p>
    <w:p>
      <w:pPr>
        <w:pStyle w:val="Heading1"/>
        <w:jc w:val="center"/>
      </w:pPr>
      <w:r>
        <w:t>摘要</w:t>
      </w:r>
    </w:p>
    <w:p>
      <w:pPr>
        <w:spacing w:line="324" w:lineRule="auto" w:after="80"/>
        <w:ind w:firstLine="420"/>
        <w:jc w:val="both"/>
      </w:pPr>
      <w:r>
        <w:rPr>
          <w:rFonts w:ascii="Noto Serif CJK SC" w:hAnsi="Noto Serif CJK SC" w:eastAsia="Noto Serif CJK SC"/>
          <w:sz w:val="21"/>
        </w:rPr>
        <w:t>高分辨率视频扩散生成的计算开销十分高昂，因为每一次去噪评估都需要在目标分辨率下处理一条很长的时空潜变量序列。然而，扩散采样具有明显的阶段性结构：早期评估主要建立全局布局与运动，而精细空间细节则在后期逐步形成。这一现象启发我们：可以在低分辨率下执行大部分采样轨迹，只为最后一小段高分辨率细化保留计算预算。现有从低分辨率到高分辨率的方法却面临不同局限。传统视频超分辨率仅以已经生成完成的低分辨率视频作为输入，必须独立恢复缺失的高频内容。RGB 空间级联会引入额外的解码与重新编码开销，同时也难以确定进入后续高分辨率扩散阶段时合适的噪声水平与时间步。生成后潜变量上采样虽然避免了编解码开销，但仍保留了重新进入采样轨迹时的歧义。轨迹内潜变量缩放是一种更直接的方案，但固定插值会造成显著的跨分辨率失真；为了获得更大加速而推迟分辨率切换时，这一问题会变得更加突出。</w:t>
      </w:r>
    </w:p>
    <w:p>
      <w:pPr>
        <w:spacing w:line="324" w:lineRule="auto" w:after="80"/>
        <w:ind w:firstLine="420"/>
        <w:jc w:val="both"/>
      </w:pPr>
      <w:r>
        <w:rPr>
          <w:rFonts w:ascii="Noto Serif CJK SC" w:hAnsi="Noto Serif CJK SC" w:eastAsia="Noto Serif CJK SC"/>
          <w:sz w:val="21"/>
        </w:rPr>
        <w:t>我们提出 TrajScale，一种围绕可学习干净潜变量上采样构建的解耦式混合分辨率采样框架。其跨分辨率潜变量上采样器（Cross-Resolution Latent Upsampler，CRLU）学习低分辨率与目标分辨率干净潜变量空间之间在结构与时间上保持一致的映射，以替代固定插值。然而，在低分辨率轨迹尚未收敛时使用该上采样器，会产生与时间步相关的输入失配：切换时刻的干净预测不同于 CRLU 训练所使用的、近似轨迹终点的潜变量分布。为此，我们引入基于 LoRA 的终点对齐适配器（Endpoint Alignment Adapter，EAA）。EAA 仅在分辨率切换步骤激活，用于将当前预测校准至对应完整低分辨率轨迹的终点。在推理阶段，经 EAA 校准后的潜变量先由 CRLU 上采样，再在目标分辨率下重建到对应的调度器噪声层级，最后由冻结生成器通过一段较短的高分辨率后缀完成细化。这样的职责划分使 CRLU 能够保持跨尺度结构，而预训练生成器负责合成无法由低分辨率输入唯一确定的高频细节。CRLU 与 EAA 均通过模型内生自蒸馏相互独立地训练，其监督完全由冻结目标模型生成，不需要外部成对视频或辅助教师。</w:t>
      </w:r>
    </w:p>
    <w:p>
      <w:pPr>
        <w:spacing w:line="324" w:lineRule="auto" w:after="80"/>
        <w:ind w:firstLine="420"/>
        <w:jc w:val="both"/>
      </w:pPr>
      <w:r>
        <w:rPr>
          <w:rFonts w:ascii="Noto Serif CJK SC" w:hAnsi="Noto Serif CJK SC" w:eastAsia="Noto Serif CJK SC"/>
          <w:sz w:val="21"/>
        </w:rPr>
        <w:t>在 Wan2.1、50 步采样以及从 368×640 切换至 720×1248 的设置下，TrajScale-Q 与 TrajScale-E 分别实现了 1.83 倍和 2.22 倍的端到端加速。我们分别报告六个 VBench 评估维度：与 Native-HR 相比，两种运行点对背景一致性和运动平滑度的保持最为接近，而主体一致性与成像质量的下降相对更大。相较三线性插值，CRLU 将潜变量 L1 误差降低 48.6%，将 LPIPS 降低 73.3%；EAA 则在两个切换点分别将终点 L1 误差降低 25.8% 和 21.0%。TrajScale 在 4 步蒸馏采样器上同样改进了混合分辨率生成，表明其与时间维度加速具有兼容性。</w:t>
      </w:r>
    </w:p>
    <w:p>
      <w:pPr>
        <w:pStyle w:val="Heading1"/>
      </w:pPr>
      <w:r>
        <w:t>1 引言</w:t>
      </w:r>
    </w:p>
    <w:p>
      <w:pPr>
        <w:spacing w:line="324" w:lineRule="auto" w:after="80"/>
        <w:ind w:firstLine="420"/>
        <w:jc w:val="both"/>
      </w:pPr>
      <w:r>
        <w:rPr>
          <w:rFonts w:ascii="Noto Serif CJK SC" w:hAnsi="Noto Serif CJK SC" w:eastAsia="Noto Serif CJK SC"/>
          <w:sz w:val="21"/>
        </w:rPr>
        <w:t>近年来，Wan 等潜变量视频扩散模型能够生成语义连贯、运动真实且空间细节丰富的视频（Wan et al. 2025），但其推理成本会随空间分辨率、视频长度和采样步数迅速增长。在基于 DiT 的生成器中，每一次去噪评估都要处理完整的时空 token 序列。因而，如果在目标分辨率下执行整条采样轨迹，那么主要建立全局结构和宏观运动的早期评估，也会承担与后期局部结构和纹理细化相同的高分辨率计算成本。混合分辨率推理提供了一种互补的加速方式：先用低分辨率前缀低成本地建模全局内容，再用较短的高分辨率后缀完成空间细化。这种空间维度策略（ModelTC 2026；Zheng et al. 2026）与时间步蒸馏相互正交，因此可以与少步采样器结合。</w:t>
      </w:r>
    </w:p>
    <w:p>
      <w:pPr>
        <w:spacing w:line="324" w:lineRule="auto" w:after="80"/>
        <w:ind w:firstLine="420"/>
        <w:jc w:val="both"/>
      </w:pPr>
      <w:r>
        <w:rPr>
          <w:rFonts w:ascii="Noto Serif CJK SC" w:hAnsi="Noto Serif CJK SC" w:eastAsia="Noto Serif CJK SC"/>
          <w:sz w:val="21"/>
        </w:rPr>
        <w:t>现有高分辨率视频生成路线在“生成后放大”与“轨迹内加速”之间仍存在缺口。传统视频超分辨率以已经完成的低分辨率 RGB 视频为输入，必须独立恢复欠定的高频内容（Zhou et al. 2024；Xu et al. 2024）。级联式 RGB 扩散能够重新引入生成先验，但低分辨率结果的解码与随后重新编码会增加编解码开销；同时，完整 RGB 视频并不天然对应高分辨率轨迹中的某个特定时间步或噪声水平。潜变量级联避免了 RGB 往返转换，却仍需要在低分辨率生成结束后，手动选择高分辨率轨迹的进入点和细化强度。轨迹内方法通过在采样期间缩放潜变量来避免这种后期重新进入，但固定插值无法学习 VAE 所诱导的两个潜变量网格之间的对应关系。当切换被推迟以获得更高加速时，留给高分辨率阶段修正插值误差的评估次数更少。真正缺失的是一种可学习的潜变量上采样器：它能够在低分辨率轨迹收敛之前插入，同时又不继承未收敛轨迹状态在切换时刻的残余误差。</w:t>
      </w:r>
    </w:p>
    <w:p>
      <w:pPr>
        <w:spacing w:line="324" w:lineRule="auto" w:after="80"/>
        <w:ind w:firstLine="420"/>
        <w:jc w:val="both"/>
      </w:pPr>
      <w:r>
        <w:rPr>
          <w:rFonts w:ascii="Noto Serif CJK SC" w:hAnsi="Noto Serif CJK SC" w:eastAsia="Noto Serif CJK SC"/>
          <w:sz w:val="21"/>
        </w:rPr>
        <w:t>我们据此提出 TrajScale，一种解耦式混合分辨率采样框架。TrajScale 首先利用模型生成的成对干净潜变量，学习跨分辨率潜变量上采样器（CRLU），以生成器和 VAE 特定的跨分辨率映射替代仅依赖几何的插值。CRLU 的目标是将结构和运动忠实地转移到目标潜变量网格，而不是唯一地“幻觉”出所有缺失的高频细节；冻结的高分辨率后缀继续承担这部分生成职责。然而，在低分辨率轨迹收敛前部署 CRLU，会使其接收到带有时间步相关残差的输入，而这种残差在干净潜变量训练对中并不存在。因此，我们引入仅作用于切换位置的终点对齐适配器（EAA），将切换时刻的干净预测校准至对应原生低分辨率轨迹的终点。对齐后的潜变量随后被上采样、重建至对应调度器层级，并由冻结生成器完成剩余高分辨率评估。</w:t>
      </w:r>
    </w:p>
    <w:p>
      <w:pPr>
        <w:spacing w:line="324" w:lineRule="auto" w:after="80"/>
        <w:ind w:firstLine="420"/>
        <w:jc w:val="both"/>
      </w:pPr>
      <w:r>
        <w:rPr>
          <w:rFonts w:ascii="Noto Serif CJK SC" w:hAnsi="Noto Serif CJK SC" w:eastAsia="Noto Serif CJK SC"/>
          <w:sz w:val="21"/>
        </w:rPr>
        <w:t>我们的主要贡献总结如下：</w:t>
      </w:r>
    </w:p>
    <w:p>
      <w:pPr>
        <w:pStyle w:val="ListBullet"/>
        <w:spacing w:line="300" w:lineRule="auto" w:after="60"/>
        <w:ind w:left="340" w:hanging="170"/>
      </w:pPr>
      <w:r>
        <w:rPr>
          <w:rFonts w:ascii="Noto Serif CJK SC" w:hAnsi="Noto Serif CJK SC" w:eastAsia="Noto Serif CJK SC"/>
          <w:sz w:val="21"/>
        </w:rPr>
        <w:t>提出 TrajScale，一种轻量级混合分辨率视频采样框架，将低成本的低分辨率前缀与较短的高分辨率后缀相结合，提供可控的质量—效率运行点，并兼容时间步蒸馏采样器。</w:t>
      </w:r>
    </w:p>
    <w:p>
      <w:pPr>
        <w:pStyle w:val="ListBullet"/>
        <w:spacing w:line="300" w:lineRule="auto" w:after="60"/>
        <w:ind w:left="340" w:hanging="170"/>
      </w:pPr>
      <w:r>
        <w:rPr>
          <w:rFonts w:ascii="Noto Serif CJK SC" w:hAnsi="Noto Serif CJK SC" w:eastAsia="Noto Serif CJK SC"/>
          <w:sz w:val="21"/>
        </w:rPr>
        <w:t>提出 CRLU，一种模型内生的干净潜变量上采样器，用于学习目标生成器的跨分辨率 VAE 对应关系，持续优于固定潜变量插值；同时将欠定高频内容的补全交由冻结的高分辨率后缀完成。</w:t>
      </w:r>
    </w:p>
    <w:p>
      <w:pPr>
        <w:pStyle w:val="ListBullet"/>
        <w:spacing w:line="300" w:lineRule="auto" w:after="60"/>
        <w:ind w:left="340" w:hanging="170"/>
      </w:pPr>
      <w:r>
        <w:rPr>
          <w:rFonts w:ascii="Noto Serif CJK SC" w:hAnsi="Noto Serif CJK SC" w:eastAsia="Noto Serif CJK SC"/>
          <w:sz w:val="21"/>
        </w:rPr>
        <w:t>识别并修正可学习潜变量上采样的部署失配：采用以终点为监督、满足缓存前缀一致性的切换局部 EAA。标准 Wan 与 4 步 Wan 采样器上的实验表明，CRLU 提供主要的跨分辨率增益，而 EAA 则进行有针对性的切换时刻校准。</w:t>
      </w:r>
    </w:p>
    <w:p>
      <w:pPr>
        <w:jc w:val="center"/>
      </w:pPr>
      <w:r>
        <w:drawing>
          <wp:inline xmlns:a="http://schemas.openxmlformats.org/drawingml/2006/main" xmlns:pic="http://schemas.openxmlformats.org/drawingml/2006/picture">
            <wp:extent cx="5688000" cy="2133000"/>
            <wp:docPr id="1" name="Picture 1"/>
            <wp:cNvGraphicFramePr>
              <a:graphicFrameLocks noChangeAspect="1"/>
            </wp:cNvGraphicFramePr>
            <a:graphic>
              <a:graphicData uri="http://schemas.openxmlformats.org/drawingml/2006/picture">
                <pic:pic>
                  <pic:nvPicPr>
                    <pic:cNvPr id="0" name="fig1.png"/>
                    <pic:cNvPicPr/>
                  </pic:nvPicPr>
                  <pic:blipFill>
                    <a:blip r:embed="rId9"/>
                    <a:stretch>
                      <a:fillRect/>
                    </a:stretch>
                  </pic:blipFill>
                  <pic:spPr>
                    <a:xfrm>
                      <a:off x="0" y="0"/>
                      <a:ext cx="5688000" cy="2133000"/>
                    </a:xfrm>
                    <a:prstGeom prst="rect"/>
                  </pic:spPr>
                </pic:pic>
              </a:graphicData>
            </a:graphic>
          </wp:inline>
        </w:drawing>
      </w:r>
    </w:p>
    <w:p>
      <w:pPr>
        <w:spacing w:before="40" w:after="160"/>
        <w:jc w:val="center"/>
      </w:pPr>
      <w:r>
        <w:rPr>
          <w:rFonts w:ascii="Noto Serif CJK SC" w:hAnsi="Noto Serif CJK SC" w:eastAsia="Noto Serif CJK SC"/>
          <w:sz w:val="18"/>
        </w:rPr>
        <w:t>图 1：真实视频帧对比与 TrajScale 推理流程。（a）在提示词 05、随机种子 9705、第 41 帧下，内容对齐的 Native-HR（估计）、三线性插值、仅 CRLU 和 TrajScale-Q 输出，均使用相同的 1.5× 局部裁剪。参考结果来自完整的 368p 轨迹，切换方法输出为 720p。（b）Native-HR 在高分辨率下执行全部 50 次评估；TrajScale-Q 与 TrajScale-E 分别在低分辨率下执行前 40 次和前 45 次评估，并保留 10 次和 5 次高分辨率后缀评估。</w:t>
      </w:r>
    </w:p>
    <w:p>
      <w:pPr>
        <w:pStyle w:val="Heading1"/>
      </w:pPr>
      <w:r>
        <w:t>2 相关工作</w:t>
      </w:r>
    </w:p>
    <w:p>
      <w:pPr>
        <w:pStyle w:val="Heading2"/>
      </w:pPr>
      <w:r>
        <w:t>2.1 视频超分辨率与级联细化</w:t>
      </w:r>
    </w:p>
    <w:p>
      <w:pPr>
        <w:spacing w:line="324" w:lineRule="auto" w:after="80"/>
        <w:ind w:firstLine="420"/>
        <w:jc w:val="both"/>
      </w:pPr>
      <w:r>
        <w:rPr>
          <w:rFonts w:ascii="Noto Serif CJK SC" w:hAnsi="Noto Serif CJK SC" w:eastAsia="Noto Serif CJK SC"/>
          <w:sz w:val="21"/>
        </w:rPr>
        <w:t>潜变量扩散模型将生成过程转移到压缩表示空间中，从而实现可扩展的高分辨率合成（Rombach et al. 2022）。传统视频超分辨率则把已经完成的低分辨率 RGB 视频作为独立复原系统的输入（Zhou et al. 2024；Xu et al. 2024）。这类模型既要保持结构和时间一致性，又要恢复无法由输入唯一确定的高频内容。TrajScale 并不把高分辨率生成表述为孤立的复原问题：其可学习尺度算子负责转移稳定的潜变量表示，而原始生成器继续负责欠定细节的合成。</w:t>
      </w:r>
    </w:p>
    <w:p>
      <w:pPr>
        <w:spacing w:line="324" w:lineRule="auto" w:after="80"/>
        <w:ind w:firstLine="420"/>
        <w:jc w:val="both"/>
      </w:pPr>
      <w:r>
        <w:rPr>
          <w:rFonts w:ascii="Noto Serif CJK SC" w:hAnsi="Noto Serif CJK SC" w:eastAsia="Noto Serif CJK SC"/>
          <w:sz w:val="21"/>
        </w:rPr>
        <w:t>包括潜变量视频流水线以及 LTX-2、LUVE 等近期多阶段系统在内的级联生成系统，通常通过后续上采样或细化阶段提升分辨率（Blattmann et al. 2023；HaCohen et al. 2026；Zhao et al. 2026）。RGB 级联会在阶段之间产生额外的解码—编码往返，并要求为后续扩散过程选择噪声水平。潜变量级联避免了 RGB 往返，但仍是在低分辨率生成完成后才执行尺度转换，并且必须确定上采样潜变量应从高分辨率调度器的哪个位置进入。TrajScale 则在低分辨率生成完成之前插入可学习的干净潜变量上采样，并在冻结生成器的原生高分辨率调度过程中继续细化。</w:t>
      </w:r>
    </w:p>
    <w:p>
      <w:pPr>
        <w:pStyle w:val="Heading2"/>
      </w:pPr>
      <w:r>
        <w:t>2.2 轨迹内混合分辨率采样</w:t>
      </w:r>
    </w:p>
    <w:p>
      <w:pPr>
        <w:spacing w:line="324" w:lineRule="auto" w:after="80"/>
        <w:ind w:firstLine="420"/>
        <w:jc w:val="both"/>
      </w:pPr>
      <w:r>
        <w:rPr>
          <w:rFonts w:ascii="Noto Serif CJK SC" w:hAnsi="Noto Serif CJK SC" w:eastAsia="Noto Serif CJK SC"/>
          <w:sz w:val="21"/>
        </w:rPr>
        <w:t>LightX2V 在采样过程中通过固定插值改变潜变量分辨率（ModelTC 2026）。RALU 指出，无训练的潜变量放大可能受到高频混叠以及与分辨率相关的噪声—时间步失配影响，并为扩散 Transformer 设计了混合分辨率策略（Jeong et al. 2025）。在图像流匹配中，MrFlow 将低分辨率结构形成与低噪声高分辨率细化结合起来（Zheng et al. 2026）。这些方法证明了轨迹内分辨率切换的效率潜力，但固定缩放只改变几何尺寸，无法学习特定视频 VAE 诱导的跨分辨率对应关系。TrajScale 以 CRLU 替代插值。由于可学习的干净潜变量上采样器是在已收敛潜变量对上训练的，将其应用于未收敛轨迹预测时会出现独特的训练—推理输入失配，这正是引入 EAA 的动机。</w:t>
      </w:r>
    </w:p>
    <w:p>
      <w:pPr>
        <w:pStyle w:val="Heading2"/>
      </w:pPr>
      <w:r>
        <w:t>2.3 轨迹一致性与少步采样</w:t>
      </w:r>
    </w:p>
    <w:p>
      <w:pPr>
        <w:spacing w:line="324" w:lineRule="auto" w:after="80"/>
        <w:ind w:firstLine="420"/>
        <w:jc w:val="both"/>
      </w:pPr>
      <w:r>
        <w:rPr>
          <w:rFonts w:ascii="Noto Serif CJK SC" w:hAnsi="Noto Serif CJK SC" w:eastAsia="Noto Serif CJK SC"/>
          <w:sz w:val="21"/>
        </w:rPr>
        <w:t>时间维度加速方法通过轨迹回归、一致性映射或分布匹配来减少去噪评估次数（Luo et al. 2023；Yin et al. 2024；Zhai et al. 2024）。Self-Forcing 与 AnyFlow 等近期方法进一步强调训练状态与学生模型真实 rollout 之间的一致性，以减轻轨迹分布偏移（Huang et al. 2025；Gu et al. 2026）。TrajScale 针对的是空间计算，而非时间计算。EAA 并不是通用的低分辨率步数压缩模型：它只在选定切换位置激活，此前的前缀完全由冻结采样器生成。这种局部性带来了第 3.3 节所证明的缓存前缀一致性，使得切换状态能够被复用，而不会产生学生前缀 rollout 失配。</w:t>
      </w:r>
    </w:p>
    <w:p>
      <w:pPr>
        <w:pStyle w:val="Heading1"/>
      </w:pPr>
      <w:r>
        <w:t>3 方法</w:t>
      </w:r>
    </w:p>
    <w:p>
      <w:pPr>
        <w:pStyle w:val="Heading2"/>
      </w:pPr>
      <w:r>
        <w:t>3.1 从干净潜变量上采样到轨迹内切换</w:t>
      </w:r>
    </w:p>
    <w:p>
      <w:pPr>
        <w:spacing w:line="324" w:lineRule="auto" w:after="80"/>
        <w:ind w:firstLine="420"/>
        <w:jc w:val="both"/>
      </w:pPr>
      <w:r>
        <w:rPr>
          <w:rFonts w:ascii="Noto Serif CJK SC" w:hAnsi="Noto Serif CJK SC" w:eastAsia="Noto Serif CJK SC"/>
          <w:sz w:val="21"/>
        </w:rPr>
        <w:t>设 vφ(xₖ, k, c) 表示冻结的 Wan 流预测器，其中 xₖ 是送入第 k 次去噪评估的潜变量状态，c 为文本条件，T 为总评估次数。上标 L 与 H 分别表示低分辨率和目标分辨率潜变量空间。在第 s 次评估进行交接时，使用 xˡₛ，并将该次评估计为最后一次低分辨率评估。冻结预测器得到未经对齐的干净估计：</w:t>
      </w:r>
    </w:p>
    <w:p>
      <w:pPr>
        <w:spacing w:before="80" w:after="80"/>
        <w:jc w:val="center"/>
      </w:pPr>
      <w:r>
        <w:rPr>
          <w:rFonts w:ascii="Cambria Math" w:hAnsi="Cambria Math" w:eastAsia="Noto Serif CJK SC"/>
          <w:sz w:val="21"/>
        </w:rPr>
        <w:t>ẑˡₛ = xˡₛ − σₛ vφ(xˡₛ, s, c)</w:t>
      </w:r>
    </w:p>
    <w:p>
      <w:pPr>
        <w:spacing w:line="324" w:lineRule="auto" w:after="80"/>
        <w:ind w:firstLine="420"/>
        <w:jc w:val="both"/>
      </w:pPr>
      <w:r>
        <w:rPr>
          <w:rFonts w:ascii="Noto Serif CJK SC" w:hAnsi="Noto Serif CJK SC" w:eastAsia="Noto Serif CJK SC"/>
          <w:sz w:val="21"/>
        </w:rPr>
        <w:t>其中 σₛ 是切换位置对应的调度器系数。我们用 zˡ_end 表示在匹配的提示词、随机种子、初始噪声、调度器和引导配置下，完成同一条原生低分辨率轨迹所得到的终点。另一方面，(zˡ_pair, zᴴ_pair) 表示由同一生成视频的低分辨率版本与高分辨率版本分别经过 Wan-VAE 编码得到的一对干净潜变量。区分这两组符号十分重要：原生轨迹终点和成对潜变量训练输入都具有“干净”特征，但它们来自不同的条件分布。</w:t>
      </w:r>
    </w:p>
    <w:p>
      <w:pPr>
        <w:spacing w:line="324" w:lineRule="auto" w:after="80"/>
        <w:ind w:firstLine="420"/>
        <w:jc w:val="both"/>
      </w:pPr>
      <w:r>
        <w:rPr>
          <w:rFonts w:ascii="Noto Serif CJK SC" w:hAnsi="Noto Serif CJK SC" w:eastAsia="Noto Serif CJK SC"/>
          <w:sz w:val="21"/>
        </w:rPr>
        <w:t>混合分辨率采样所需的核心能力，是准确的跨分辨率映射。固定插值能够改变潜变量网格尺寸，却无法建模冻结 VAE 对同一内容在两个分辨率下的表示方式。因此，我们从成对潜变量样本中学习干净潜变量上采样器 Uψ。若 Uψ 仅在低分辨率轨迹收敛后使用，它就退化为传统潜变量级联。要实现加速，则必须在中间时刻部署它，而此时 ẑˡₛ 仍带有依赖于步骤和调度器的残差。EAA 专门用于在应用 CRLU 前去除这一与切换位置相关的部分。尽管推理执行顺序中 EAA 位于 CRLU 之前，本文仍先介绍 CRLU，因为只有当干净潜变量上采样器被提前部署时，终点对齐的需求才会出现。</w:t>
      </w:r>
    </w:p>
    <w:p>
      <w:pPr>
        <w:spacing w:line="324" w:lineRule="auto" w:after="80"/>
        <w:ind w:firstLine="420"/>
        <w:jc w:val="both"/>
      </w:pPr>
      <w:r>
        <w:rPr>
          <w:rFonts w:ascii="Noto Serif CJK SC" w:hAnsi="Noto Serif CJK SC" w:eastAsia="Noto Serif CJK SC"/>
          <w:sz w:val="21"/>
        </w:rPr>
        <w:t>最终推理路径为：</w:t>
      </w:r>
    </w:p>
    <w:p>
      <w:pPr>
        <w:spacing w:before="80" w:after="80"/>
        <w:jc w:val="center"/>
      </w:pPr>
      <w:r>
        <w:rPr>
          <w:rFonts w:ascii="Cambria Math" w:hAnsi="Cambria Math" w:eastAsia="Noto Serif CJK SC"/>
          <w:sz w:val="21"/>
        </w:rPr>
        <w:t>xˡₛ  —EAA→  z̃ˡₛ  —Uψ→  ẑᴴₛ  —调度器一致的状态重建→  xᴴₛ₊₁  —冻结 HR 后缀→  zᴴ_out</w:t>
      </w:r>
    </w:p>
    <w:p>
      <w:pPr>
        <w:spacing w:line="324" w:lineRule="auto" w:after="80"/>
        <w:ind w:firstLine="420"/>
        <w:jc w:val="both"/>
      </w:pPr>
      <w:r>
        <w:rPr>
          <w:rFonts w:ascii="Noto Serif CJK SC" w:hAnsi="Noto Serif CJK SC" w:eastAsia="Noto Serif CJK SC"/>
          <w:sz w:val="21"/>
        </w:rPr>
        <w:t>其中 z̃ˡₛ 是与终点对齐的干净估计，ẑᴴₛ 是 CRLU 在目标网格上的输出。两个可学习问题分别为：</w:t>
      </w:r>
    </w:p>
    <w:p>
      <w:pPr>
        <w:spacing w:before="80" w:after="80"/>
        <w:jc w:val="center"/>
      </w:pPr>
      <w:r>
        <w:rPr>
          <w:rFonts w:ascii="Cambria Math" w:hAnsi="Cambria Math" w:eastAsia="Noto Serif CJK SC"/>
          <w:sz w:val="21"/>
        </w:rPr>
        <w:t>E_scale = d(Uψ(zˡ_pair), zᴴ_pair)，    E_align(s) = d(z̃ˡₛ, zˡ_end)</w:t>
      </w:r>
    </w:p>
    <w:p>
      <w:pPr>
        <w:spacing w:line="324" w:lineRule="auto" w:after="80"/>
        <w:ind w:firstLine="420"/>
        <w:jc w:val="both"/>
      </w:pPr>
      <w:r>
        <w:rPr>
          <w:rFonts w:ascii="Noto Serif CJK SC" w:hAnsi="Noto Serif CJK SC" w:eastAsia="Noto Serif CJK SC"/>
          <w:sz w:val="21"/>
        </w:rPr>
        <w:t>它们不被视为同一个切换误差中的可加项。剩余高分辨率预算 R = T − s 是一个运行条件：第 1,…,s 次评估在低分辨率下执行，第 s+1,…,T 次评估在高分辨率下执行。越晚切换，低分辨率计算占比越高，但留给冻结高分辨率阶段合成低分辨率输入无法唯一确定的细节的评估次数也越少。</w:t>
      </w:r>
    </w:p>
    <w:p>
      <w:pPr>
        <w:pStyle w:val="Heading2"/>
      </w:pPr>
      <w:r>
        <w:t>3.2 模型内生的跨分辨率潜变量上采样</w:t>
      </w:r>
    </w:p>
    <w:p>
      <w:pPr>
        <w:spacing w:line="324" w:lineRule="auto" w:after="80"/>
        <w:ind w:firstLine="420"/>
        <w:jc w:val="both"/>
      </w:pPr>
      <w:r>
        <w:rPr>
          <w:rFonts w:ascii="Noto Serif CJK SC" w:hAnsi="Noto Serif CJK SC" w:eastAsia="Noto Serif CJK SC"/>
          <w:sz w:val="21"/>
        </w:rPr>
        <w:t>为何采用可学习潜变量上采样。空间插值规则能够改变张量尺寸，却无法学习源潜变量网格与目标潜变量网格之间由 VAE 所诱导的对应关系。因此，CRLU 被训练为将干净潜变量中的低频结构、运动轨迹和时间一致内容转移到目标分辨率表示。与传统视频超分辨率不同，它并不要求唯一重建所有缺失的高频纹理；这些自由度仍由冻结生成器在高分辨率后缀中利用。</w:t>
      </w:r>
    </w:p>
    <w:p>
      <w:pPr>
        <w:spacing w:line="324" w:lineRule="auto" w:after="80"/>
        <w:ind w:firstLine="420"/>
        <w:jc w:val="both"/>
      </w:pPr>
      <w:r>
        <w:rPr>
          <w:rFonts w:ascii="Noto Serif CJK SC" w:hAnsi="Noto Serif CJK SC" w:eastAsia="Noto Serif CJK SC"/>
          <w:sz w:val="21"/>
        </w:rPr>
        <w:t>生成器内生的尺度监督。我们使用冻结 Wan 模型，根据预定义提示词和随机种子生成高分辨率参考视频。每个视频先在 RGB 空间进行空间下采样，随后高、低分辨率版本分别由同一个冻结 Wan VAE 编码。由此得到对齐潜变量对 (zˡ_pair, zᴴ_pair)，它们拥有相同的帧数、语义与运动轨迹。在 VAE 编码之前改变分辨率至关重要：CRLU 学习的是由目标生成器、RGB 下采样过程与 VAE 共同诱导的真实对应关系，而不是模仿潜变量空间中的任意插值规则。</w:t>
      </w:r>
    </w:p>
    <w:p>
      <w:pPr>
        <w:spacing w:line="324" w:lineRule="auto" w:after="80"/>
        <w:ind w:firstLine="420"/>
        <w:jc w:val="both"/>
      </w:pPr>
      <w:r>
        <w:rPr>
          <w:rFonts w:ascii="Noto Serif CJK SC" w:hAnsi="Noto Serif CJK SC" w:eastAsia="Noto Serif CJK SC"/>
          <w:sz w:val="21"/>
        </w:rPr>
        <w:t>时空潜变量上采样。CRLU 将 16 通道 Wan 潜变量映射为目标分辨率潜变量，同时保持时间维度不变：</w:t>
      </w:r>
    </w:p>
    <w:p>
      <w:pPr>
        <w:spacing w:before="80" w:after="80"/>
        <w:jc w:val="center"/>
      </w:pPr>
      <w:r>
        <w:rPr>
          <w:rFonts w:ascii="Cambria Math" w:hAnsi="Cambria Math" w:eastAsia="Noto Serif CJK SC"/>
          <w:sz w:val="21"/>
        </w:rPr>
        <w:t>Uψ : ℝᴮ×¹⁶×ᶠ×ʰ×ʷ → ℝᴮ×¹⁶×ᶠ×ᴴ×ᵂ</w:t>
      </w:r>
    </w:p>
    <w:p>
      <w:pPr>
        <w:spacing w:line="324" w:lineRule="auto" w:after="80"/>
        <w:ind w:firstLine="420"/>
        <w:jc w:val="both"/>
      </w:pPr>
      <w:r>
        <w:rPr>
          <w:rFonts w:ascii="Noto Serif CJK SC" w:hAnsi="Noto Serif CJK SC" w:eastAsia="Noto Serif CJK SC"/>
          <w:sz w:val="21"/>
        </w:rPr>
        <w:t>受 LTX-2 潜变量上采样器（HaCohen et al. 2026）启发，该网络采用编码器—重采样器—解码器结构。首先由 3D 卷积将输入投影到 256 维隐表示，随后经过四个时空残差块。空间重采样器只改变高度和宽度；之后再经过四个 3D 残差块与最终 3D 卷积，重建 16 通道输出。时间维度保持不变，而 3D 模块允许相邻潜变量帧共同参与重建。</w:t>
      </w:r>
    </w:p>
    <w:p>
      <w:pPr>
        <w:spacing w:line="324" w:lineRule="auto" w:after="80"/>
        <w:ind w:firstLine="420"/>
        <w:jc w:val="both"/>
      </w:pPr>
      <w:r>
        <w:rPr>
          <w:rFonts w:ascii="Noto Serif CJK SC" w:hAnsi="Noto Serif CJK SC" w:eastAsia="Noto Serif CJK SC"/>
          <w:sz w:val="21"/>
        </w:rPr>
        <w:t>我们针对每一种潜变量网格比例分别实例化空间重采样器。对于 480×832 → 720×1248，网格由 60×104 变为 90×156。CRLU 先将通道数扩展 9 倍，应用 3× 空间 PixelShuffle，再使用固定二项式模糊核进行步幅为 2 的下采样：</w:t>
      </w:r>
    </w:p>
    <w:p>
      <w:pPr>
        <w:spacing w:before="80" w:after="80"/>
        <w:jc w:val="center"/>
      </w:pPr>
      <w:r>
        <w:rPr>
          <w:rFonts w:ascii="Cambria Math" w:hAnsi="Cambria Math" w:eastAsia="Noto Serif CJK SC"/>
          <w:sz w:val="21"/>
        </w:rPr>
        <w:t>60×104  —×3→  180×312  —÷2→  90×156</w:t>
      </w:r>
    </w:p>
    <w:p>
      <w:pPr>
        <w:spacing w:line="324" w:lineRule="auto" w:after="80"/>
        <w:ind w:firstLine="420"/>
        <w:jc w:val="both"/>
      </w:pPr>
      <w:r>
        <w:rPr>
          <w:rFonts w:ascii="Noto Serif CJK SC" w:hAnsi="Noto Serif CJK SC" w:eastAsia="Noto Serif CJK SC"/>
          <w:sz w:val="21"/>
        </w:rPr>
        <w:t>对于 368×640 → 720×1248，网格由 46×80 变为 90×156。2× PixelShuffle 先生成 92×160 网格，再中心裁剪至目标尺寸。这些面向特定分辨率的算子实现所需的有理数尺度变化，而其前后的时空网络负责学习潜变量对应关系。</w:t>
      </w:r>
    </w:p>
    <w:p>
      <w:pPr>
        <w:spacing w:line="324" w:lineRule="auto" w:after="80"/>
        <w:ind w:firstLine="420"/>
        <w:jc w:val="both"/>
      </w:pPr>
      <w:r>
        <w:rPr>
          <w:rFonts w:ascii="Noto Serif CJK SC" w:hAnsi="Noto Serif CJK SC" w:eastAsia="Noto Serif CJK SC"/>
          <w:sz w:val="21"/>
        </w:rPr>
        <w:t>跨分辨率训练目标。令 ẑᴴ_pair = Uψ(zˡ_pair)，CRLU 的训练目标为：</w:t>
      </w:r>
    </w:p>
    <w:p>
      <w:pPr>
        <w:spacing w:before="80" w:after="80"/>
        <w:jc w:val="center"/>
      </w:pPr>
      <w:r>
        <w:rPr>
          <w:rFonts w:ascii="Cambria Math" w:hAnsi="Cambria Math" w:eastAsia="Noto Serif CJK SC"/>
          <w:sz w:val="21"/>
        </w:rPr>
        <w:t>L_CRLU = L_rec + λ_content L_content + λ_temp L_temp</w:t>
      </w:r>
    </w:p>
    <w:p>
      <w:pPr>
        <w:spacing w:before="80" w:after="80"/>
        <w:jc w:val="center"/>
      </w:pPr>
      <w:r>
        <w:rPr>
          <w:rFonts w:ascii="Cambria Math" w:hAnsi="Cambria Math" w:eastAsia="Noto Serif CJK SC"/>
          <w:sz w:val="21"/>
        </w:rPr>
        <w:t>L_rec = 𝔼[ √((ẑᴴ_pair − zᴴ_pair)² + ε²) ]</w:t>
      </w:r>
    </w:p>
    <w:p>
      <w:pPr>
        <w:spacing w:before="80" w:after="80"/>
        <w:jc w:val="center"/>
      </w:pPr>
      <w:r>
        <w:rPr>
          <w:rFonts w:ascii="Cambria Math" w:hAnsi="Cambria Math" w:eastAsia="Noto Serif CJK SC"/>
          <w:sz w:val="21"/>
        </w:rPr>
        <w:t>L_content = ‖D(ẑᴴ_pair) − zˡ_pair‖₁     （1）</w:t>
      </w:r>
    </w:p>
    <w:p>
      <w:pPr>
        <w:spacing w:before="80" w:after="80"/>
        <w:jc w:val="center"/>
      </w:pPr>
      <w:r>
        <w:rPr>
          <w:rFonts w:ascii="Cambria Math" w:hAnsi="Cambria Math" w:eastAsia="Noto Serif CJK SC"/>
          <w:sz w:val="21"/>
        </w:rPr>
        <w:t>L_temp = ‖Δ_F ẑᴴ_pair − Δ_F zᴴ_pair‖₁     （2）</w:t>
      </w:r>
    </w:p>
    <w:p>
      <w:pPr>
        <w:spacing w:line="324" w:lineRule="auto" w:after="80"/>
        <w:ind w:firstLine="420"/>
        <w:jc w:val="both"/>
      </w:pPr>
      <w:r>
        <w:rPr>
          <w:rFonts w:ascii="Noto Serif CJK SC" w:hAnsi="Noto Serif CJK SC" w:eastAsia="Noto Serif CJK SC"/>
          <w:sz w:val="21"/>
        </w:rPr>
        <w:t>其中，D 将预测结果映射回低分辨率网格，Δ_F 表示相邻潜变量帧之间的一阶时间差分。我们设置 λ_content = 0.2、λ_temp = 0.1、ε = 10⁻³。三个损失项分别约束目标潜变量重建、低频内容保持与时间演化。</w:t>
      </w:r>
    </w:p>
    <w:p>
      <w:pPr>
        <w:spacing w:line="324" w:lineRule="auto" w:after="80"/>
        <w:ind w:firstLine="420"/>
        <w:jc w:val="both"/>
      </w:pPr>
      <w:r>
        <w:rPr>
          <w:rFonts w:ascii="Noto Serif CJK SC" w:hAnsi="Noto Serif CJK SC" w:eastAsia="Noto Serif CJK SC"/>
          <w:sz w:val="21"/>
        </w:rPr>
        <w:t>低分辨率潜变量并不能唯一确定其高分辨率对应结果中的每一种纹理。因此，CRLU 在目标网格上生成结构忠实且时间稳定的干净潜变量，而冻结的高分辨率后缀负责补充输入中缺失的生成自由度。这种职责划分使 TrajScale 有别于必须独立恢复全部缺失细节的单独超分辨率模型。</w:t>
      </w:r>
    </w:p>
    <w:p>
      <w:pPr>
        <w:jc w:val="center"/>
      </w:pPr>
      <w:r>
        <w:drawing>
          <wp:inline xmlns:a="http://schemas.openxmlformats.org/drawingml/2006/main" xmlns:pic="http://schemas.openxmlformats.org/drawingml/2006/picture">
            <wp:extent cx="5688000" cy="1155375"/>
            <wp:docPr id="2" name="Picture 2"/>
            <wp:cNvGraphicFramePr>
              <a:graphicFrameLocks noChangeAspect="1"/>
            </wp:cNvGraphicFramePr>
            <a:graphic>
              <a:graphicData uri="http://schemas.openxmlformats.org/drawingml/2006/picture">
                <pic:pic>
                  <pic:nvPicPr>
                    <pic:cNvPr id="0" name="fig2.png"/>
                    <pic:cNvPicPr/>
                  </pic:nvPicPr>
                  <pic:blipFill>
                    <a:blip r:embed="rId10"/>
                    <a:stretch>
                      <a:fillRect/>
                    </a:stretch>
                  </pic:blipFill>
                  <pic:spPr>
                    <a:xfrm>
                      <a:off x="0" y="0"/>
                      <a:ext cx="5688000" cy="1155375"/>
                    </a:xfrm>
                    <a:prstGeom prst="rect"/>
                  </pic:spPr>
                </pic:pic>
              </a:graphicData>
            </a:graphic>
          </wp:inline>
        </w:drawing>
      </w:r>
    </w:p>
    <w:p>
      <w:pPr>
        <w:spacing w:before="40" w:after="160"/>
        <w:jc w:val="center"/>
      </w:pPr>
      <w:r>
        <w:rPr>
          <w:rFonts w:ascii="Noto Serif CJK SC" w:hAnsi="Noto Serif CJK SC" w:eastAsia="Noto Serif CJK SC"/>
          <w:sz w:val="18"/>
        </w:rPr>
        <w:t>图 2：TrajScale 总览。设计逻辑：CRLU 学习模型特定的跨分辨率干净潜变量映射；在低分辨率轨迹收敛前部署它，会产生切换时刻的输入残差，EAA 将该残差校准至对应原生轨迹终点。推理按“低分辨率前缀 → EAA → CRLU → 调度器一致的状态重建 → 冻结高分辨率后缀”的顺序执行。两个可训练模块都使用冻结目标模型生成的监督。</w:t>
      </w:r>
    </w:p>
    <w:p>
      <w:pPr>
        <w:pStyle w:val="Heading2"/>
      </w:pPr>
      <w:r>
        <w:t>3.3 切换时刻的终点对齐</w:t>
      </w:r>
    </w:p>
    <w:p>
      <w:pPr>
        <w:spacing w:line="324" w:lineRule="auto" w:after="80"/>
        <w:ind w:firstLine="420"/>
        <w:jc w:val="both"/>
      </w:pPr>
      <w:r>
        <w:rPr>
          <w:rFonts w:ascii="Noto Serif CJK SC" w:hAnsi="Noto Serif CJK SC" w:eastAsia="Noto Serif CJK SC"/>
          <w:sz w:val="21"/>
        </w:rPr>
        <w:t>部署失配。CRLU 在成对干净潜变量上训练，但混合分辨率加速时送入的却是未收敛轨迹状态的干净预测。一般而言：</w:t>
      </w:r>
    </w:p>
    <w:p>
      <w:pPr>
        <w:spacing w:before="80" w:after="80"/>
        <w:jc w:val="center"/>
      </w:pPr>
      <w:r>
        <w:rPr>
          <w:rFonts w:ascii="Cambria Math" w:hAnsi="Cambria Math" w:eastAsia="Noto Serif CJK SC"/>
          <w:sz w:val="21"/>
        </w:rPr>
        <w:t>p_handoff⁽ˢ⁾(ẑˡₛ) ≠ p_pair(zˡ_pair)</w:t>
      </w:r>
    </w:p>
    <w:p>
      <w:pPr>
        <w:spacing w:line="324" w:lineRule="auto" w:after="80"/>
        <w:ind w:firstLine="420"/>
        <w:jc w:val="both"/>
      </w:pPr>
      <w:r>
        <w:rPr>
          <w:rFonts w:ascii="Noto Serif CJK SC" w:hAnsi="Noto Serif CJK SC" w:eastAsia="Noto Serif CJK SC"/>
          <w:sz w:val="21"/>
        </w:rPr>
        <w:t>二者差异包含与切换位置相关的残差，其幅度和结构取决于交接步骤、调度器与引导配置。若将该残差直接送入 CRLU，尺度转换便会与尚未完成的低分辨率去噪纠缠在一起。因此，EAA 是为 CRLU 的部署而训练的，而不是通用的低分辨率加速模型：它先将切换时刻的预测移向近似终点的干净潜变量域，再进行尺度转换。EAA 会缩小但并不声称完全消除原生轨迹终点与 CRLU 成对潜变量训练分布之间的剩余差距。</w:t>
      </w:r>
    </w:p>
    <w:p>
      <w:pPr>
        <w:spacing w:line="324" w:lineRule="auto" w:after="80"/>
        <w:ind w:firstLine="420"/>
        <w:jc w:val="both"/>
      </w:pPr>
      <w:r>
        <w:rPr>
          <w:rFonts w:ascii="Noto Serif CJK SC" w:hAnsi="Noto Serif CJK SC" w:eastAsia="Noto Serif CJK SC"/>
          <w:sz w:val="21"/>
        </w:rPr>
        <w:t>切换局部的终点监督。对每一个训练条件，我们在固定文本提示词、随机种子、初始噪声、调度器和无分类器引导（CFG）配置下运行冻结模型。在指定切换之前立即缓存 xˡₛ，并继续同一条原生低分辨率轨迹，得到 zˡ_end。训练对 (xˡₛ, zˡ_end) 精确保持交接时刻的语义与随机条件，同时隔离出原本会传递给 CRLU 的残差。</w:t>
      </w:r>
    </w:p>
    <w:p>
      <w:pPr>
        <w:spacing w:line="324" w:lineRule="auto" w:after="80"/>
        <w:ind w:firstLine="420"/>
        <w:jc w:val="both"/>
      </w:pPr>
      <w:r>
        <w:rPr>
          <w:rFonts w:ascii="Noto Serif CJK SC" w:hAnsi="Noto Serif CJK SC" w:eastAsia="Noto Serif CJK SC"/>
          <w:sz w:val="21"/>
        </w:rPr>
        <w:t>局部化低秩适配。EAA 采用 LoRA（Hu et al. 2022）实现，只在指定切换步骤激活，基础 Wan 参数保持冻结。对于线性层 W，训练阶段的 LoRA 参数化为：</w:t>
      </w:r>
    </w:p>
    <w:p>
      <w:pPr>
        <w:spacing w:before="80" w:after="80"/>
        <w:jc w:val="center"/>
      </w:pPr>
      <w:r>
        <w:rPr>
          <w:rFonts w:ascii="Cambria Math" w:hAnsi="Cambria Math" w:eastAsia="Noto Serif CJK SC"/>
          <w:sz w:val="21"/>
        </w:rPr>
        <w:t>W′ = W + (α_LoRA / r) BA</w:t>
      </w:r>
    </w:p>
    <w:p>
      <w:pPr>
        <w:spacing w:line="324" w:lineRule="auto" w:after="80"/>
        <w:ind w:firstLine="420"/>
        <w:jc w:val="both"/>
      </w:pPr>
      <w:r>
        <w:rPr>
          <w:rFonts w:ascii="Noto Serif CJK SC" w:hAnsi="Noto Serif CJK SC" w:eastAsia="Noto Serif CJK SC"/>
          <w:sz w:val="21"/>
        </w:rPr>
        <w:t>其中 r 为 LoRA 秩，α_LoRA 为训练尺度。在推理时，我们另用交接强度 λ 调制已学习分支：</w:t>
      </w:r>
    </w:p>
    <w:p>
      <w:pPr>
        <w:spacing w:before="80" w:after="80"/>
        <w:jc w:val="center"/>
      </w:pPr>
      <w:r>
        <w:rPr>
          <w:rFonts w:ascii="Cambria Math" w:hAnsi="Cambria Math" w:eastAsia="Noto Serif CJK SC"/>
          <w:sz w:val="21"/>
        </w:rPr>
        <w:t>W_λ = W + λ(α_LoRA / r) BA</w:t>
      </w:r>
    </w:p>
    <w:p>
      <w:pPr>
        <w:spacing w:line="324" w:lineRule="auto" w:after="80"/>
        <w:ind w:firstLine="420"/>
        <w:jc w:val="both"/>
      </w:pPr>
      <w:r>
        <w:rPr>
          <w:rFonts w:ascii="Noto Serif CJK SC" w:hAnsi="Noto Serif CJK SC" w:eastAsia="Noto Serif CJK SC"/>
          <w:sz w:val="21"/>
        </w:rPr>
        <w:t>我们在固定开发提示词上扫描 λ ∈ {0.5, 0.75, 1.0}，选择 λ = 0.75，并对所有提示词和所有报告的切换配置统一使用该数值。推理时强度不同于训练设置 α_LoRA/r = 32/32。它只在第 s 次评估期间为非零，其他评估中均重置为零。低秩更新被注入 q、k、v、o 注意力投影以及 ffn.0、ffn.2 线性层。在流匹配参数化下，EAA 输出：</w:t>
      </w:r>
    </w:p>
    <w:p>
      <w:pPr>
        <w:spacing w:before="80" w:after="80"/>
        <w:jc w:val="center"/>
      </w:pPr>
      <w:r>
        <w:rPr>
          <w:rFonts w:ascii="Cambria Math" w:hAnsi="Cambria Math" w:eastAsia="Noto Serif CJK SC"/>
          <w:sz w:val="21"/>
        </w:rPr>
        <w:t>z̃ˡₛ = xˡₛ − σₛ v_{φ+λΔθₛ}(xˡₛ, s, c)</w:t>
      </w:r>
    </w:p>
    <w:p>
      <w:pPr>
        <w:spacing w:line="324" w:lineRule="auto" w:after="80"/>
        <w:ind w:firstLine="420"/>
        <w:jc w:val="both"/>
      </w:pPr>
      <w:r>
        <w:rPr>
          <w:rFonts w:ascii="Noto Serif CJK SC" w:hAnsi="Noto Serif CJK SC" w:eastAsia="Noto Serif CJK SC"/>
          <w:sz w:val="21"/>
        </w:rPr>
        <w:t>优化目标为：</w:t>
      </w:r>
    </w:p>
    <w:p>
      <w:pPr>
        <w:spacing w:before="80" w:after="80"/>
        <w:jc w:val="center"/>
      </w:pPr>
      <w:r>
        <w:rPr>
          <w:rFonts w:ascii="Cambria Math" w:hAnsi="Cambria Math" w:eastAsia="Noto Serif CJK SC"/>
          <w:sz w:val="21"/>
        </w:rPr>
        <w:t>L_EAA = ‖z̃ˡₛ − zˡ_end‖₁ + 0.1‖z̃ˡₛ − zˡ_end‖²₂</w:t>
      </w:r>
    </w:p>
    <w:p>
      <w:pPr>
        <w:spacing w:line="324" w:lineRule="auto" w:after="80"/>
        <w:ind w:firstLine="420"/>
        <w:jc w:val="both"/>
      </w:pPr>
      <w:r>
        <w:rPr>
          <w:rFonts w:ascii="Noto Serif CJK SC" w:hAnsi="Noto Serif CJK SC" w:eastAsia="Noto Serif CJK SC"/>
          <w:sz w:val="21"/>
        </w:rPr>
        <w:t>对于较早的切换位置，由于逐帧残差更可能在尺度转换中传播，我们额外加入权重为 0.05 的时间残差对齐项。虽然同一目标也可写成速度标签 v* = (xˡₛ − zˡ_end)/σₛ，但本文所有报告模型均在干净潜变量域中优化。EAA 不进行任何空间上采样；它唯一的作用，是校准 CRLU 在选定切换位置所接收的输入。</w:t>
      </w:r>
    </w:p>
    <w:p>
      <w:pPr>
        <w:spacing w:line="324" w:lineRule="auto" w:after="80"/>
        <w:ind w:firstLine="420"/>
        <w:jc w:val="both"/>
      </w:pPr>
      <w:r>
        <w:rPr>
          <w:rFonts w:ascii="Noto Serif CJK SC" w:hAnsi="Noto Serif CJK SC" w:eastAsia="Noto Serif CJK SC"/>
          <w:sz w:val="21"/>
        </w:rPr>
        <w:t>缓存前缀一致性。由于 EAA 在步骤 s 之前不激活，其低秩参数对所有 k &lt; s 均满足 Δθₖ = 0。在确定性采样且文本嵌入、初始噪声、调度器、CFG 强度及其他条件输入完全匹配时，适配过程与冻结过程在整个前缀中使用相同的状态转移函数。由归纳可得：</w:t>
      </w:r>
    </w:p>
    <w:p>
      <w:pPr>
        <w:spacing w:before="80" w:after="80"/>
        <w:jc w:val="center"/>
      </w:pPr>
      <w:r>
        <w:rPr>
          <w:rFonts w:ascii="Cambria Math" w:hAnsi="Cambria Math" w:eastAsia="Noto Serif CJK SC"/>
          <w:sz w:val="21"/>
        </w:rPr>
        <w:t>xᵃᵈᵃᵖᵗᵉᵈₖ = xᵇᵃˢᵉₖ，    ∀ k ≤ s</w:t>
      </w:r>
    </w:p>
    <w:p>
      <w:pPr>
        <w:spacing w:line="324" w:lineRule="auto" w:after="80"/>
        <w:ind w:firstLine="420"/>
        <w:jc w:val="both"/>
      </w:pPr>
      <w:r>
        <w:rPr>
          <w:rFonts w:ascii="Noto Serif CJK SC" w:hAnsi="Noto Serif CJK SC" w:eastAsia="Noto Serif CJK SC"/>
          <w:sz w:val="21"/>
        </w:rPr>
        <w:t>因此，从冻结模型缓存的前缀状态，恰好就是 EAA 所接收的状态。该性质支持离线训练对构建，也支持在不同切换算子之间进行受控比较，而不会引入前缀 rollout 失配。上述等式要求切换局部激活、确定性前缀采样以及匹配的调度器、引导和条件设置。若将适配扩展至更早或多个评估步骤，则后续状态将被改变，需要使用 on-policy 学生 rollout 或同步教师轨迹。</w:t>
      </w:r>
    </w:p>
    <w:p>
      <w:pPr>
        <w:pStyle w:val="Heading2"/>
      </w:pPr>
      <w:r>
        <w:t>3.4 与调度器一致的高分辨率续接</w:t>
      </w:r>
    </w:p>
    <w:p>
      <w:pPr>
        <w:spacing w:line="324" w:lineRule="auto" w:after="80"/>
        <w:ind w:firstLine="420"/>
        <w:jc w:val="both"/>
      </w:pPr>
      <w:r>
        <w:rPr>
          <w:rFonts w:ascii="Noto Serif CJK SC" w:hAnsi="Noto Serif CJK SC" w:eastAsia="Noto Serif CJK SC"/>
          <w:sz w:val="21"/>
        </w:rPr>
        <w:t>完成终点对齐与 CRLU 后，TrajScale 得到目标网格上的干净潜变量：</w:t>
      </w:r>
    </w:p>
    <w:p>
      <w:pPr>
        <w:spacing w:before="80" w:after="80"/>
        <w:jc w:val="center"/>
      </w:pPr>
      <w:r>
        <w:rPr>
          <w:rFonts w:ascii="Cambria Math" w:hAnsi="Cambria Math" w:eastAsia="Noto Serif CJK SC"/>
          <w:sz w:val="21"/>
        </w:rPr>
        <w:t>ẑᴴₛ = Uψ(z̃ˡₛ)</w:t>
      </w:r>
    </w:p>
    <w:p>
      <w:pPr>
        <w:spacing w:line="324" w:lineRule="auto" w:after="80"/>
        <w:ind w:firstLine="420"/>
        <w:jc w:val="both"/>
      </w:pPr>
      <w:r>
        <w:rPr>
          <w:rFonts w:ascii="Noto Serif CJK SC" w:hAnsi="Noto Serif CJK SC" w:eastAsia="Noto Serif CJK SC"/>
          <w:sz w:val="21"/>
        </w:rPr>
        <w:t>但下一次去噪评估需要的是对应调度器层级上的中间状态。因此，我们重建：</w:t>
      </w:r>
    </w:p>
    <w:p>
      <w:pPr>
        <w:spacing w:before="80" w:after="80"/>
        <w:jc w:val="center"/>
      </w:pPr>
      <w:r>
        <w:rPr>
          <w:rFonts w:ascii="Cambria Math" w:hAnsi="Cambria Math" w:eastAsia="Noto Serif CJK SC"/>
          <w:sz w:val="21"/>
        </w:rPr>
        <w:t>xᴴₛ₊₁ = (1 − σₛ₊₁)ẑᴴₛ + σₛ₊₁ εᴴ，    εᴴ ~ 𝒩(0, I)</w:t>
      </w:r>
    </w:p>
    <w:p>
      <w:pPr>
        <w:spacing w:line="324" w:lineRule="auto" w:after="80"/>
        <w:ind w:firstLine="420"/>
        <w:jc w:val="both"/>
      </w:pPr>
      <w:r>
        <w:rPr>
          <w:rFonts w:ascii="Noto Serif CJK SC" w:hAnsi="Noto Serif CJK SC" w:eastAsia="Noto Serif CJK SC"/>
          <w:sz w:val="21"/>
        </w:rPr>
        <w:t>噪声直接在目标分辨率网格上采样。该无参数操作先在干净潜变量域完成尺度切换，再按目标调度系数初始化目标网格状态，避免跨网格缩放低分辨率噪声状态或速度场。</w:t>
      </w:r>
    </w:p>
    <w:p>
      <w:pPr>
        <w:spacing w:line="324" w:lineRule="auto" w:after="80"/>
        <w:ind w:firstLine="420"/>
        <w:jc w:val="both"/>
      </w:pPr>
      <w:r>
        <w:rPr>
          <w:rFonts w:ascii="Noto Serif CJK SC" w:hAnsi="Noto Serif CJK SC" w:eastAsia="Noto Serif CJK SC"/>
          <w:sz w:val="21"/>
        </w:rPr>
        <w:t>从 xᴴₛ₊₁ 开始，未经修改的 Wan 去噪器在高分辨率潜变量空间中执行剩余评估。该后缀细化已转移结构，并利用基础模型的原生先验合成无法从低分辨率潜变量中恢复的精细纹理与空间频率。状态重建只是使这种原生续接成为可能；真正进行生成式细化的是冻结的高分辨率后缀，而不是重建操作本身。</w:t>
      </w:r>
    </w:p>
    <w:p>
      <w:pPr>
        <w:spacing w:line="324" w:lineRule="auto" w:after="80"/>
        <w:ind w:firstLine="420"/>
        <w:jc w:val="both"/>
      </w:pPr>
      <w:r>
        <w:rPr>
          <w:rFonts w:ascii="Noto Serif CJK SC" w:hAnsi="Noto Serif CJK SC" w:eastAsia="Noto Serif CJK SC"/>
          <w:sz w:val="21"/>
        </w:rPr>
        <w:t>同一流程同时适用于传统多步采样器和经过时间蒸馏的少步采样器。对于任意有效切换索引 s，采样器先在低分辨率下执行前缀，调用一次 EAA 和 CRLU，在目标网格上重建下一调度状态，并在高分辨率下完成剩余评估。TrajScale 不改变基础调度器，也不重新训练冻结去噪器。具体切换索引以及偏重质量或效率的运行点将在第 4 节中说明。</w:t>
      </w:r>
    </w:p>
    <w:p>
      <w:pPr>
        <w:pStyle w:val="Heading1"/>
      </w:pPr>
      <w:r>
        <w:t>4 实验</w:t>
      </w:r>
    </w:p>
    <w:p>
      <w:pPr>
        <w:pStyle w:val="Heading2"/>
      </w:pPr>
      <w:r>
        <w:t>4.1 实验目标与设置</w:t>
      </w:r>
    </w:p>
    <w:p>
      <w:pPr>
        <w:spacing w:line="324" w:lineRule="auto" w:after="80"/>
        <w:ind w:firstLine="420"/>
        <w:jc w:val="both"/>
      </w:pPr>
      <w:r>
        <w:rPr>
          <w:rFonts w:ascii="Noto Serif CJK SC" w:hAnsi="Noto Serif CJK SC" w:eastAsia="Noto Serif CJK SC"/>
          <w:sz w:val="21"/>
        </w:rPr>
        <w:t>我们的评估回答四个问题：（RQ1）TrajScale 能否建立有意义的端到端质量—效率前沿；（RQ2）CRLU 能否学习比固定插值更忠实的跨分辨率算子；（RQ3）EAA 能否提高 CRLU 在未收敛低分辨率轨迹上的部署可靠性；（RQ4）同一空间切换机制能否与 4 步蒸馏采样器兼容。</w:t>
      </w:r>
    </w:p>
    <w:p>
      <w:pPr>
        <w:spacing w:line="324" w:lineRule="auto" w:after="80"/>
        <w:ind w:firstLine="420"/>
        <w:jc w:val="both"/>
      </w:pPr>
      <w:r>
        <w:rPr>
          <w:rFonts w:ascii="Noto Serif CJK SC" w:hAnsi="Noto Serif CJK SC" w:eastAsia="Noto Serif CJK SC"/>
          <w:sz w:val="21"/>
        </w:rPr>
        <w:t>对于 50 步流水线，我们使用 Wan2.1 T2V-1.3B 生成约 1,000 个参考视频。每个视频包含 81 帧，分辨率为 720×1248，帧率为 16 fps。通过双三次 RGB 下采样得到对应的 480×832 与 368×640 视频，再由冻结 Wan VAE 重新编码，构建对齐的跨分辨率潜变量对。EAA 训练对由指定切换之前的低分辨率状态，以及对应完整低分辨率轨迹的终点组成。</w:t>
      </w:r>
    </w:p>
    <w:p>
      <w:pPr>
        <w:spacing w:line="324" w:lineRule="auto" w:after="80"/>
        <w:ind w:firstLine="420"/>
        <w:jc w:val="both"/>
      </w:pPr>
      <w:r>
        <w:rPr>
          <w:rFonts w:ascii="Noto Serif CJK SC" w:hAnsi="Noto Serif CJK SC" w:eastAsia="Noto Serif CJK SC"/>
          <w:sz w:val="21"/>
        </w:rPr>
        <w:t>4 步实验使用 Wan2.1 T2V-14B StepDistill-CfgDistill 生成的约 5,000 个视频。CRLU 在 368×640 → 720×1248 的干净潜变量对上训练；EAA 则将第 3 步之前的状态与完整第 4 步低分辨率终点配对。训练、验证与测试划分在文本提示词和随机种子两方面均互不重叠。</w:t>
      </w:r>
    </w:p>
    <w:p>
      <w:pPr>
        <w:spacing w:line="324" w:lineRule="auto" w:after="80"/>
        <w:ind w:firstLine="420"/>
        <w:jc w:val="both"/>
      </w:pPr>
      <w:r>
        <w:rPr>
          <w:rFonts w:ascii="Noto Serif CJK SC" w:hAnsi="Noto Serif CJK SC" w:eastAsia="Noto Serif CJK SC"/>
          <w:sz w:val="21"/>
        </w:rPr>
        <w:t>CRLU 使用 AdamW 优化，最多训练 50k 步，学习率为 1×10⁻⁴，采用 bf16 精度与 0.9999 的 EMA 衰减。EAA 同样使用 AdamW，最多训练 10k 步，学习率为 5×10⁻⁵，LoRA 秩/尺度为 32/32。训练使用四张 NVIDIA H100 GPU，CRLU 与 EAA 分别约需 8 小时和 33 小时。所有效率测量均取五次独立冷启动运行的平均值。由于监督全部由冻结目标模型生成，TrajScale 不需要外部成对视频或额外的上采样教师。</w:t>
      </w:r>
    </w:p>
    <w:p>
      <w:pPr>
        <w:pStyle w:val="Heading2"/>
      </w:pPr>
      <w:r>
        <w:t>4.2 基线与评估协议</w:t>
      </w:r>
    </w:p>
    <w:p>
      <w:pPr>
        <w:spacing w:line="324" w:lineRule="auto" w:after="80"/>
        <w:ind w:firstLine="420"/>
        <w:jc w:val="both"/>
      </w:pPr>
      <w:r>
        <w:rPr>
          <w:rFonts w:ascii="Noto Serif CJK SC" w:hAnsi="Noto Serif CJK SC" w:eastAsia="Noto Serif CJK SC"/>
          <w:sz w:val="21"/>
        </w:rPr>
        <w:t>系统级比较包括：Native-HR Sampling，在 720p 下执行全部去噪评估；Trilinear Handoff，使用固定三线性潜变量插值执行混合分辨率推理；Post-Generation Latent Cascade，在完成低分辨率轨迹后应用 CRLU，并执行一次手动选定的低强度高分辨率细化评估。我们还报告 Native-LR Sampling 作为低分辨率参考。生成后级联基线用于检验另一种方案：直到生成完成才执行尺度转换，此时必须由外部人为指定进入高分辨率轨迹的层级。</w:t>
      </w:r>
    </w:p>
    <w:p>
      <w:pPr>
        <w:spacing w:line="324" w:lineRule="auto" w:after="80"/>
        <w:ind w:firstLine="420"/>
        <w:jc w:val="both"/>
      </w:pPr>
      <w:r>
        <w:rPr>
          <w:rFonts w:ascii="Noto Serif CJK SC" w:hAnsi="Noto Serif CJK SC" w:eastAsia="Noto Serif CJK SC"/>
          <w:sz w:val="21"/>
        </w:rPr>
        <w:t>模块交互通过 2×2 诊断设计评估：将 CRLU 输入状态 {未对齐、EAA 对齐} 与分辨率算子 {三线性插值、CRLU} 交叉组合，得到 Trilinear Handoff、EAA+Trilinear、CRLU-only 与完整 TrajScale 四种配置。从 Trilinear 到 CRLU-only 的比较隔离可学习上采样效果；从 CRLU-only 到 TrajScale 的比较隔离切换时刻输入对齐效果。EAA+Trilinear 被保留为诊断项，用于说明终点校准无法取代准确的尺度算子。Oracle 输入域变体与联合切换映射器仅作为诊断参考报告于补充材料中。</w:t>
      </w:r>
    </w:p>
    <w:p>
      <w:pPr>
        <w:spacing w:line="324" w:lineRule="auto" w:after="80"/>
        <w:ind w:firstLine="420"/>
        <w:jc w:val="both"/>
      </w:pPr>
      <w:r>
        <w:rPr>
          <w:rFonts w:ascii="Noto Serif CJK SC" w:hAnsi="Noto Serif CJK SC" w:eastAsia="Noto Serif CJK SC"/>
          <w:sz w:val="21"/>
        </w:rPr>
        <w:t>终点对齐评估报告终点潜变量 L1、解码后 PSNR 与 LPIPS、时间潜变量差分及逐样本胜率。CRLU 使用潜变量 L1、PSNR、SSIM、LPIPS 与时间 L1 进行评估。端到端质量通过 VBench（Huang et al. 2024）和人工评价衡量。我们不构造自定义聚合指标，而是直接报告六个 VBench 维度：主体一致性、背景一致性、运动平滑度、动态程度、美学质量和成像质量。</w:t>
      </w:r>
    </w:p>
    <w:p>
      <w:pPr>
        <w:spacing w:line="324" w:lineRule="auto" w:after="80"/>
        <w:ind w:firstLine="420"/>
        <w:jc w:val="both"/>
      </w:pPr>
      <w:r>
        <w:rPr>
          <w:rFonts w:ascii="Noto Serif CJK SC" w:hAnsi="Noto Serif CJK SC" w:eastAsia="Noto Serif CJK SC"/>
          <w:sz w:val="21"/>
        </w:rPr>
        <w:t>所有配对配置共享相同的提示词、随机种子、初始噪声、调度器和引导参数。提示词级得分差异通过 10,000 次配对 bootstrap 计算 95% 置信区间，并进行双侧精确符号检验。人工评价在 10 个匹配提示词上采用随机化双盲比较，每个提示词由三位独立评审者判断，并以提示词级多数票作为结果。评审者间一致性见补充材料。</w:t>
      </w:r>
    </w:p>
    <w:p>
      <w:pPr>
        <w:spacing w:line="324" w:lineRule="auto" w:after="80"/>
        <w:ind w:firstLine="420"/>
        <w:jc w:val="both"/>
      </w:pPr>
      <w:r>
        <w:rPr>
          <w:rFonts w:ascii="Noto Serif CJK SC" w:hAnsi="Noto Serif CJK SC" w:eastAsia="Noto Serif CJK SC"/>
          <w:sz w:val="21"/>
        </w:rPr>
        <w:t>效率测量包括端到端冷启动延迟、峰值 GPU 显存、低/高分辨率去噪评估次数，以及相对 Native-HR Sampling 的加速比。EAA、CRLU、VAE、调度器状态重建和动态模型加载等所有开销均被计入。</w:t>
      </w:r>
    </w:p>
    <w:p>
      <w:pPr>
        <w:pStyle w:val="Heading1"/>
      </w:pPr>
      <w:r>
        <w:t>5 结果与分析</w:t>
      </w:r>
    </w:p>
    <w:p>
      <w:pPr>
        <w:pStyle w:val="Heading2"/>
      </w:pPr>
      <w:r>
        <w:t>5.1 系统级质量—效率权衡</w:t>
      </w:r>
    </w:p>
    <w:p>
      <w:pPr>
        <w:spacing w:line="324" w:lineRule="auto" w:after="80"/>
        <w:ind w:firstLine="420"/>
        <w:jc w:val="both"/>
      </w:pPr>
      <w:r>
        <w:rPr>
          <w:rFonts w:ascii="Noto Serif CJK SC" w:hAnsi="Noto Serif CJK SC" w:eastAsia="Noto Serif CJK SC"/>
          <w:sz w:val="21"/>
        </w:rPr>
        <w:t>表 1 将标准 50 步 Native-HR 流水线与 TrajScale 的两个主要运行点进行比较。TrajScale-Q 将前 40 次评估移至低分辨率网格，保留 10 次高分辨率后缀评估，将延迟从 253.10 秒降至 138.36 秒（1.83 倍加速）。TrajScale-E 只保留 5 次高分辨率评估，进一步将延迟降至 114.26 秒（2.22 倍加速）。在六个 VBench 维度中，两种运行点在背景一致性和运动平滑度上最接近 Native-HR，而主体一致性和成像质量下降更明显。两种方案的动态程度均由 0.60 提高至 0.70。这些运行点说明：更晚切换能够提高加速比，但也会减少原生高分辨率细节合成的预算。</w:t>
      </w:r>
    </w:p>
    <w:p>
      <w:pPr>
        <w:spacing w:line="324" w:lineRule="auto" w:after="80"/>
        <w:ind w:firstLine="420"/>
        <w:jc w:val="both"/>
      </w:pPr>
      <w:r>
        <w:rPr>
          <w:rFonts w:ascii="Noto Serif CJK SC" w:hAnsi="Noto Serif CJK SC" w:eastAsia="Noto Serif CJK SC"/>
          <w:sz w:val="21"/>
        </w:rPr>
        <w:t>Post-Generation Latent Cascade 达到 86.45 秒（2.93 倍加速）；相对 Native-HR，其主体、背景、美学和成像得分分别下降到 0.9259、0.9545、0.5710 和 0.5732。在尺度转换前完成整个低分辨率轨迹可以最大化速度，但后续仅剩一次手动选择的低噪声细化评估，因此结构与纹理细化能力更弱。Native-HR、TrajScale-Q、TrajScale-E 与生成后级联的峰值显存均约为 26 GiB，说明 TrajScale 主要减少运行时间，而非峰值显存。</w:t>
      </w:r>
    </w:p>
    <w:p>
      <w:pPr>
        <w:jc w:val="center"/>
      </w:pPr>
      <w:r>
        <w:drawing>
          <wp:inline xmlns:a="http://schemas.openxmlformats.org/drawingml/2006/main" xmlns:pic="http://schemas.openxmlformats.org/drawingml/2006/picture">
            <wp:extent cx="5328000" cy="1471823"/>
            <wp:docPr id="3" name="Picture 3"/>
            <wp:cNvGraphicFramePr>
              <a:graphicFrameLocks noChangeAspect="1"/>
            </wp:cNvGraphicFramePr>
            <a:graphic>
              <a:graphicData uri="http://schemas.openxmlformats.org/drawingml/2006/picture">
                <pic:pic>
                  <pic:nvPicPr>
                    <pic:cNvPr id="0" name="fig3.png"/>
                    <pic:cNvPicPr/>
                  </pic:nvPicPr>
                  <pic:blipFill>
                    <a:blip r:embed="rId11"/>
                    <a:stretch>
                      <a:fillRect/>
                    </a:stretch>
                  </pic:blipFill>
                  <pic:spPr>
                    <a:xfrm>
                      <a:off x="0" y="0"/>
                      <a:ext cx="5328000" cy="1471823"/>
                    </a:xfrm>
                    <a:prstGeom prst="rect"/>
                  </pic:spPr>
                </pic:pic>
              </a:graphicData>
            </a:graphic>
          </wp:inline>
        </w:drawing>
      </w:r>
    </w:p>
    <w:p>
      <w:pPr>
        <w:spacing w:before="40" w:after="160"/>
        <w:jc w:val="center"/>
      </w:pPr>
      <w:r>
        <w:rPr>
          <w:rFonts w:ascii="Noto Serif CJK SC" w:hAnsi="Noto Serif CJK SC" w:eastAsia="Noto Serif CJK SC"/>
          <w:sz w:val="18"/>
        </w:rPr>
        <w:t>图 3：相对 Native-HR Sampling 的系统效率与分维度质量。（a）端到端冷启动延迟与加速比。（b）六个 VBench 维度的绝对变化；动态程度被视为运动特征，而非越大越好的单调质量分数。</w:t>
      </w:r>
    </w:p>
    <w:p>
      <w:pPr>
        <w:jc w:val="center"/>
      </w:pPr>
      <w:r>
        <w:rPr>
          <w:rFonts w:ascii="Noto Serif CJK SC" w:hAnsi="Noto Serif CJK SC" w:eastAsia="Noto Serif CJK SC"/>
          <w:b/>
          <w:sz w:val="19"/>
        </w:rPr>
        <w:t>表 1（a）：端到端效率</w:t>
      </w:r>
    </w:p>
    <w:tbl>
      <w:tblPr>
        <w:tblStyle w:val="TableGrid"/>
        <w:tblW w:type="auto" w:w="0"/>
        <w:jc w:val="center"/>
        <w:tblLayout w:type="autofit"/>
        <w:tblLook w:firstColumn="1" w:firstRow="1" w:lastColumn="0" w:lastRow="0" w:noHBand="0" w:noVBand="1" w:val="04A0"/>
      </w:tblPr>
      <w:tblGrid>
        <w:gridCol w:w="1882"/>
        <w:gridCol w:w="1882"/>
        <w:gridCol w:w="1882"/>
        <w:gridCol w:w="1882"/>
        <w:gridCol w:w="1882"/>
      </w:tblGrid>
      <w:tr>
        <w:trPr>
          <w:tblHeader w:val="true"/>
        </w:trPr>
        <w:tc>
          <w:tcPr>
            <w:tcW w:type="dxa" w:w="1882"/>
            <w:vAlign w:val="center"/>
            <w:shd w:fill="E7EEF8"/>
          </w:tcPr>
          <w:p>
            <w:pPr>
              <w:spacing w:after="0" w:before="0"/>
              <w:jc w:val="center"/>
            </w:pPr>
            <w:r/>
            <w:r>
              <w:rPr>
                <w:rFonts w:ascii="Noto Serif CJK SC" w:hAnsi="Noto Serif CJK SC" w:eastAsia="Noto Serif CJK SC"/>
                <w:b/>
                <w:sz w:val="17"/>
              </w:rPr>
              <w:t>方法</w:t>
            </w:r>
          </w:p>
        </w:tc>
        <w:tc>
          <w:tcPr>
            <w:tcW w:type="dxa" w:w="1882"/>
            <w:vAlign w:val="center"/>
            <w:shd w:fill="E7EEF8"/>
          </w:tcPr>
          <w:p>
            <w:pPr>
              <w:spacing w:after="0" w:before="0"/>
              <w:jc w:val="center"/>
            </w:pPr>
            <w:r/>
            <w:r>
              <w:rPr>
                <w:rFonts w:ascii="Noto Serif CJK SC" w:hAnsi="Noto Serif CJK SC" w:eastAsia="Noto Serif CJK SC"/>
                <w:b/>
                <w:sz w:val="17"/>
              </w:rPr>
              <w:t>LR/HR 评估数</w:t>
            </w:r>
          </w:p>
        </w:tc>
        <w:tc>
          <w:tcPr>
            <w:tcW w:type="dxa" w:w="1882"/>
            <w:vAlign w:val="center"/>
            <w:shd w:fill="E7EEF8"/>
          </w:tcPr>
          <w:p>
            <w:pPr>
              <w:spacing w:after="0" w:before="0"/>
              <w:jc w:val="center"/>
            </w:pPr>
            <w:r/>
            <w:r>
              <w:rPr>
                <w:rFonts w:ascii="Noto Serif CJK SC" w:hAnsi="Noto Serif CJK SC" w:eastAsia="Noto Serif CJK SC"/>
                <w:b/>
                <w:sz w:val="17"/>
              </w:rPr>
              <w:t>时间（秒）↓</w:t>
            </w:r>
          </w:p>
        </w:tc>
        <w:tc>
          <w:tcPr>
            <w:tcW w:type="dxa" w:w="1882"/>
            <w:vAlign w:val="center"/>
            <w:shd w:fill="E7EEF8"/>
          </w:tcPr>
          <w:p>
            <w:pPr>
              <w:spacing w:after="0" w:before="0"/>
              <w:jc w:val="center"/>
            </w:pPr>
            <w:r/>
            <w:r>
              <w:rPr>
                <w:rFonts w:ascii="Noto Serif CJK SC" w:hAnsi="Noto Serif CJK SC" w:eastAsia="Noto Serif CJK SC"/>
                <w:b/>
                <w:sz w:val="17"/>
              </w:rPr>
              <w:t>延迟降低</w:t>
            </w:r>
          </w:p>
        </w:tc>
        <w:tc>
          <w:tcPr>
            <w:tcW w:type="dxa" w:w="1882"/>
            <w:vAlign w:val="center"/>
            <w:shd w:fill="E7EEF8"/>
          </w:tcPr>
          <w:p>
            <w:pPr>
              <w:spacing w:after="0" w:before="0"/>
              <w:jc w:val="center"/>
            </w:pPr>
            <w:r/>
            <w:r>
              <w:rPr>
                <w:rFonts w:ascii="Noto Serif CJK SC" w:hAnsi="Noto Serif CJK SC" w:eastAsia="Noto Serif CJK SC"/>
                <w:b/>
                <w:sz w:val="17"/>
              </w:rPr>
              <w:t>加速比↑</w:t>
            </w:r>
          </w:p>
        </w:tc>
      </w:tr>
      <w:tr>
        <w:tc>
          <w:tcPr>
            <w:tcW w:type="dxa" w:w="1882"/>
            <w:vAlign w:val="center"/>
          </w:tcPr>
          <w:p>
            <w:pPr>
              <w:spacing w:after="0" w:before="0"/>
              <w:jc w:val="center"/>
            </w:pPr>
            <w:r/>
            <w:r>
              <w:rPr>
                <w:rFonts w:ascii="Noto Serif CJK SC" w:hAnsi="Noto Serif CJK SC" w:eastAsia="Noto Serif CJK SC"/>
                <w:b w:val="0"/>
                <w:sz w:val="17"/>
              </w:rPr>
              <w:t>Native-HR Sampling</w:t>
            </w:r>
          </w:p>
        </w:tc>
        <w:tc>
          <w:tcPr>
            <w:tcW w:type="dxa" w:w="1882"/>
            <w:vAlign w:val="center"/>
          </w:tcPr>
          <w:p>
            <w:pPr>
              <w:spacing w:after="0" w:before="0"/>
              <w:jc w:val="center"/>
            </w:pPr>
            <w:r/>
            <w:r>
              <w:rPr>
                <w:rFonts w:ascii="Noto Serif CJK SC" w:hAnsi="Noto Serif CJK SC" w:eastAsia="Noto Serif CJK SC"/>
                <w:b w:val="0"/>
                <w:sz w:val="17"/>
              </w:rPr>
              <w:t>0/50</w:t>
            </w:r>
          </w:p>
        </w:tc>
        <w:tc>
          <w:tcPr>
            <w:tcW w:type="dxa" w:w="1882"/>
            <w:vAlign w:val="center"/>
          </w:tcPr>
          <w:p>
            <w:pPr>
              <w:spacing w:after="0" w:before="0"/>
              <w:jc w:val="center"/>
            </w:pPr>
            <w:r/>
            <w:r>
              <w:rPr>
                <w:rFonts w:ascii="Noto Serif CJK SC" w:hAnsi="Noto Serif CJK SC" w:eastAsia="Noto Serif CJK SC"/>
                <w:b w:val="0"/>
                <w:sz w:val="17"/>
              </w:rPr>
              <w:t>253.10 ± 1.53</w:t>
            </w:r>
          </w:p>
        </w:tc>
        <w:tc>
          <w:tcPr>
            <w:tcW w:type="dxa" w:w="1882"/>
            <w:vAlign w:val="center"/>
          </w:tcPr>
          <w:p>
            <w:pPr>
              <w:spacing w:after="0" w:before="0"/>
              <w:jc w:val="center"/>
            </w:pPr>
            <w:r/>
            <w:r>
              <w:rPr>
                <w:rFonts w:ascii="Noto Serif CJK SC" w:hAnsi="Noto Serif CJK SC" w:eastAsia="Noto Serif CJK SC"/>
                <w:b w:val="0"/>
                <w:sz w:val="17"/>
              </w:rPr>
              <w:t>—</w:t>
            </w:r>
          </w:p>
        </w:tc>
        <w:tc>
          <w:tcPr>
            <w:tcW w:type="dxa" w:w="1882"/>
            <w:vAlign w:val="center"/>
          </w:tcPr>
          <w:p>
            <w:pPr>
              <w:spacing w:after="0" w:before="0"/>
              <w:jc w:val="center"/>
            </w:pPr>
            <w:r/>
            <w:r>
              <w:rPr>
                <w:rFonts w:ascii="Noto Serif CJK SC" w:hAnsi="Noto Serif CJK SC" w:eastAsia="Noto Serif CJK SC"/>
                <w:b w:val="0"/>
                <w:sz w:val="17"/>
              </w:rPr>
              <w:t>1.00×</w:t>
            </w:r>
          </w:p>
        </w:tc>
      </w:tr>
      <w:tr>
        <w:tc>
          <w:tcPr>
            <w:tcW w:type="dxa" w:w="1882"/>
            <w:vAlign w:val="center"/>
          </w:tcPr>
          <w:p>
            <w:pPr>
              <w:spacing w:after="0" w:before="0"/>
              <w:jc w:val="center"/>
            </w:pPr>
            <w:r/>
            <w:r>
              <w:rPr>
                <w:rFonts w:ascii="Noto Serif CJK SC" w:hAnsi="Noto Serif CJK SC" w:eastAsia="Noto Serif CJK SC"/>
                <w:b w:val="0"/>
                <w:sz w:val="17"/>
              </w:rPr>
              <w:t>TrajScale-Q（第 40 步）</w:t>
            </w:r>
          </w:p>
        </w:tc>
        <w:tc>
          <w:tcPr>
            <w:tcW w:type="dxa" w:w="1882"/>
            <w:vAlign w:val="center"/>
          </w:tcPr>
          <w:p>
            <w:pPr>
              <w:spacing w:after="0" w:before="0"/>
              <w:jc w:val="center"/>
            </w:pPr>
            <w:r/>
            <w:r>
              <w:rPr>
                <w:rFonts w:ascii="Noto Serif CJK SC" w:hAnsi="Noto Serif CJK SC" w:eastAsia="Noto Serif CJK SC"/>
                <w:b w:val="0"/>
                <w:sz w:val="17"/>
              </w:rPr>
              <w:t>40/10</w:t>
            </w:r>
          </w:p>
        </w:tc>
        <w:tc>
          <w:tcPr>
            <w:tcW w:type="dxa" w:w="1882"/>
            <w:vAlign w:val="center"/>
          </w:tcPr>
          <w:p>
            <w:pPr>
              <w:spacing w:after="0" w:before="0"/>
              <w:jc w:val="center"/>
            </w:pPr>
            <w:r/>
            <w:r>
              <w:rPr>
                <w:rFonts w:ascii="Noto Serif CJK SC" w:hAnsi="Noto Serif CJK SC" w:eastAsia="Noto Serif CJK SC"/>
                <w:b w:val="0"/>
                <w:sz w:val="17"/>
              </w:rPr>
              <w:t>138.36 ± 0.50</w:t>
            </w:r>
          </w:p>
        </w:tc>
        <w:tc>
          <w:tcPr>
            <w:tcW w:type="dxa" w:w="1882"/>
            <w:vAlign w:val="center"/>
          </w:tcPr>
          <w:p>
            <w:pPr>
              <w:spacing w:after="0" w:before="0"/>
              <w:jc w:val="center"/>
            </w:pPr>
            <w:r/>
            <w:r>
              <w:rPr>
                <w:rFonts w:ascii="Noto Serif CJK SC" w:hAnsi="Noto Serif CJK SC" w:eastAsia="Noto Serif CJK SC"/>
                <w:b w:val="0"/>
                <w:sz w:val="17"/>
              </w:rPr>
              <w:t>45.33%</w:t>
            </w:r>
          </w:p>
        </w:tc>
        <w:tc>
          <w:tcPr>
            <w:tcW w:type="dxa" w:w="1882"/>
            <w:vAlign w:val="center"/>
          </w:tcPr>
          <w:p>
            <w:pPr>
              <w:spacing w:after="0" w:before="0"/>
              <w:jc w:val="center"/>
            </w:pPr>
            <w:r/>
            <w:r>
              <w:rPr>
                <w:rFonts w:ascii="Noto Serif CJK SC" w:hAnsi="Noto Serif CJK SC" w:eastAsia="Noto Serif CJK SC"/>
                <w:b w:val="0"/>
                <w:sz w:val="17"/>
              </w:rPr>
              <w:t>1.83×</w:t>
            </w:r>
          </w:p>
        </w:tc>
      </w:tr>
      <w:tr>
        <w:tc>
          <w:tcPr>
            <w:tcW w:type="dxa" w:w="1882"/>
            <w:vAlign w:val="center"/>
          </w:tcPr>
          <w:p>
            <w:pPr>
              <w:spacing w:after="0" w:before="0"/>
              <w:jc w:val="center"/>
            </w:pPr>
            <w:r/>
            <w:r>
              <w:rPr>
                <w:rFonts w:ascii="Noto Serif CJK SC" w:hAnsi="Noto Serif CJK SC" w:eastAsia="Noto Serif CJK SC"/>
                <w:b w:val="0"/>
                <w:sz w:val="17"/>
              </w:rPr>
              <w:t>TrajScale-E（第 45 步）</w:t>
            </w:r>
          </w:p>
        </w:tc>
        <w:tc>
          <w:tcPr>
            <w:tcW w:type="dxa" w:w="1882"/>
            <w:vAlign w:val="center"/>
          </w:tcPr>
          <w:p>
            <w:pPr>
              <w:spacing w:after="0" w:before="0"/>
              <w:jc w:val="center"/>
            </w:pPr>
            <w:r/>
            <w:r>
              <w:rPr>
                <w:rFonts w:ascii="Noto Serif CJK SC" w:hAnsi="Noto Serif CJK SC" w:eastAsia="Noto Serif CJK SC"/>
                <w:b w:val="0"/>
                <w:sz w:val="17"/>
              </w:rPr>
              <w:t>45/5</w:t>
            </w:r>
          </w:p>
        </w:tc>
        <w:tc>
          <w:tcPr>
            <w:tcW w:type="dxa" w:w="1882"/>
            <w:vAlign w:val="center"/>
          </w:tcPr>
          <w:p>
            <w:pPr>
              <w:spacing w:after="0" w:before="0"/>
              <w:jc w:val="center"/>
            </w:pPr>
            <w:r/>
            <w:r>
              <w:rPr>
                <w:rFonts w:ascii="Noto Serif CJK SC" w:hAnsi="Noto Serif CJK SC" w:eastAsia="Noto Serif CJK SC"/>
                <w:b w:val="0"/>
                <w:sz w:val="17"/>
              </w:rPr>
              <w:t>114.26 ± 1.52</w:t>
            </w:r>
          </w:p>
        </w:tc>
        <w:tc>
          <w:tcPr>
            <w:tcW w:type="dxa" w:w="1882"/>
            <w:vAlign w:val="center"/>
          </w:tcPr>
          <w:p>
            <w:pPr>
              <w:spacing w:after="0" w:before="0"/>
              <w:jc w:val="center"/>
            </w:pPr>
            <w:r/>
            <w:r>
              <w:rPr>
                <w:rFonts w:ascii="Noto Serif CJK SC" w:hAnsi="Noto Serif CJK SC" w:eastAsia="Noto Serif CJK SC"/>
                <w:b w:val="0"/>
                <w:sz w:val="17"/>
              </w:rPr>
              <w:t>54.85%</w:t>
            </w:r>
          </w:p>
        </w:tc>
        <w:tc>
          <w:tcPr>
            <w:tcW w:type="dxa" w:w="1882"/>
            <w:vAlign w:val="center"/>
          </w:tcPr>
          <w:p>
            <w:pPr>
              <w:spacing w:after="0" w:before="0"/>
              <w:jc w:val="center"/>
            </w:pPr>
            <w:r/>
            <w:r>
              <w:rPr>
                <w:rFonts w:ascii="Noto Serif CJK SC" w:hAnsi="Noto Serif CJK SC" w:eastAsia="Noto Serif CJK SC"/>
                <w:b w:val="0"/>
                <w:sz w:val="17"/>
              </w:rPr>
              <w:t>2.22×</w:t>
            </w:r>
          </w:p>
        </w:tc>
      </w:tr>
      <w:tr>
        <w:tc>
          <w:tcPr>
            <w:tcW w:type="dxa" w:w="1882"/>
            <w:vAlign w:val="center"/>
          </w:tcPr>
          <w:p>
            <w:pPr>
              <w:spacing w:after="0" w:before="0"/>
              <w:jc w:val="center"/>
            </w:pPr>
            <w:r/>
            <w:r>
              <w:rPr>
                <w:rFonts w:ascii="Noto Serif CJK SC" w:hAnsi="Noto Serif CJK SC" w:eastAsia="Noto Serif CJK SC"/>
                <w:b w:val="0"/>
                <w:sz w:val="17"/>
              </w:rPr>
              <w:t>生成后潜变量级联</w:t>
            </w:r>
          </w:p>
        </w:tc>
        <w:tc>
          <w:tcPr>
            <w:tcW w:type="dxa" w:w="1882"/>
            <w:vAlign w:val="center"/>
          </w:tcPr>
          <w:p>
            <w:pPr>
              <w:spacing w:after="0" w:before="0"/>
              <w:jc w:val="center"/>
            </w:pPr>
            <w:r/>
            <w:r>
              <w:rPr>
                <w:rFonts w:ascii="Noto Serif CJK SC" w:hAnsi="Noto Serif CJK SC" w:eastAsia="Noto Serif CJK SC"/>
                <w:b w:val="0"/>
                <w:sz w:val="17"/>
              </w:rPr>
              <w:t>50/1</w:t>
            </w:r>
          </w:p>
        </w:tc>
        <w:tc>
          <w:tcPr>
            <w:tcW w:type="dxa" w:w="1882"/>
            <w:vAlign w:val="center"/>
          </w:tcPr>
          <w:p>
            <w:pPr>
              <w:spacing w:after="0" w:before="0"/>
              <w:jc w:val="center"/>
            </w:pPr>
            <w:r/>
            <w:r>
              <w:rPr>
                <w:rFonts w:ascii="Noto Serif CJK SC" w:hAnsi="Noto Serif CJK SC" w:eastAsia="Noto Serif CJK SC"/>
                <w:b w:val="0"/>
                <w:sz w:val="17"/>
              </w:rPr>
              <w:t>86.45 ± 2.87</w:t>
            </w:r>
          </w:p>
        </w:tc>
        <w:tc>
          <w:tcPr>
            <w:tcW w:type="dxa" w:w="1882"/>
            <w:vAlign w:val="center"/>
          </w:tcPr>
          <w:p>
            <w:pPr>
              <w:spacing w:after="0" w:before="0"/>
              <w:jc w:val="center"/>
            </w:pPr>
            <w:r/>
            <w:r>
              <w:rPr>
                <w:rFonts w:ascii="Noto Serif CJK SC" w:hAnsi="Noto Serif CJK SC" w:eastAsia="Noto Serif CJK SC"/>
                <w:b w:val="0"/>
                <w:sz w:val="17"/>
              </w:rPr>
              <w:t>65.84%</w:t>
            </w:r>
          </w:p>
        </w:tc>
        <w:tc>
          <w:tcPr>
            <w:tcW w:type="dxa" w:w="1882"/>
            <w:vAlign w:val="center"/>
          </w:tcPr>
          <w:p>
            <w:pPr>
              <w:spacing w:after="0" w:before="0"/>
              <w:jc w:val="center"/>
            </w:pPr>
            <w:r/>
            <w:r>
              <w:rPr>
                <w:rFonts w:ascii="Noto Serif CJK SC" w:hAnsi="Noto Serif CJK SC" w:eastAsia="Noto Serif CJK SC"/>
                <w:b w:val="0"/>
                <w:sz w:val="17"/>
              </w:rPr>
              <w:t>2.93×</w:t>
            </w:r>
          </w:p>
        </w:tc>
      </w:tr>
    </w:tbl>
    <w:p>
      <w:pPr>
        <w:spacing w:after="0"/>
      </w:pPr>
    </w:p>
    <w:p>
      <w:pPr>
        <w:jc w:val="center"/>
      </w:pPr>
      <w:r>
        <w:rPr>
          <w:rFonts w:ascii="Noto Serif CJK SC" w:hAnsi="Noto Serif CJK SC" w:eastAsia="Noto Serif CJK SC"/>
          <w:b/>
          <w:sz w:val="19"/>
        </w:rPr>
        <w:t>表 1（b）：原始 VBench 维度</w:t>
      </w:r>
    </w:p>
    <w:tbl>
      <w:tblPr>
        <w:tblStyle w:val="TableGrid"/>
        <w:tblW w:type="auto" w:w="0"/>
        <w:jc w:val="center"/>
        <w:tblLayout w:type="autofit"/>
        <w:tblLook w:firstColumn="1" w:firstRow="1" w:lastColumn="0" w:lastRow="0" w:noHBand="0" w:noVBand="1" w:val="04A0"/>
      </w:tblPr>
      <w:tblGrid>
        <w:gridCol w:w="1345"/>
        <w:gridCol w:w="1345"/>
        <w:gridCol w:w="1345"/>
        <w:gridCol w:w="1345"/>
        <w:gridCol w:w="1345"/>
        <w:gridCol w:w="1345"/>
        <w:gridCol w:w="1345"/>
      </w:tblGrid>
      <w:tr>
        <w:trPr>
          <w:tblHeader w:val="true"/>
        </w:trPr>
        <w:tc>
          <w:tcPr>
            <w:tcW w:type="dxa" w:w="1345"/>
            <w:vAlign w:val="center"/>
            <w:shd w:fill="E7EEF8"/>
          </w:tcPr>
          <w:p>
            <w:pPr>
              <w:spacing w:after="0" w:before="0"/>
              <w:jc w:val="center"/>
            </w:pPr>
            <w:r/>
            <w:r>
              <w:rPr>
                <w:rFonts w:ascii="Noto Serif CJK SC" w:hAnsi="Noto Serif CJK SC" w:eastAsia="Noto Serif CJK SC"/>
                <w:b/>
                <w:sz w:val="16"/>
              </w:rPr>
              <w:t>方法</w:t>
            </w:r>
          </w:p>
        </w:tc>
        <w:tc>
          <w:tcPr>
            <w:tcW w:type="dxa" w:w="1345"/>
            <w:vAlign w:val="center"/>
            <w:shd w:fill="E7EEF8"/>
          </w:tcPr>
          <w:p>
            <w:pPr>
              <w:spacing w:after="0" w:before="0"/>
              <w:jc w:val="center"/>
            </w:pPr>
            <w:r/>
            <w:r>
              <w:rPr>
                <w:rFonts w:ascii="Noto Serif CJK SC" w:hAnsi="Noto Serif CJK SC" w:eastAsia="Noto Serif CJK SC"/>
                <w:b/>
                <w:sz w:val="16"/>
              </w:rPr>
              <w:t>主体</w:t>
            </w:r>
          </w:p>
        </w:tc>
        <w:tc>
          <w:tcPr>
            <w:tcW w:type="dxa" w:w="1345"/>
            <w:vAlign w:val="center"/>
            <w:shd w:fill="E7EEF8"/>
          </w:tcPr>
          <w:p>
            <w:pPr>
              <w:spacing w:after="0" w:before="0"/>
              <w:jc w:val="center"/>
            </w:pPr>
            <w:r/>
            <w:r>
              <w:rPr>
                <w:rFonts w:ascii="Noto Serif CJK SC" w:hAnsi="Noto Serif CJK SC" w:eastAsia="Noto Serif CJK SC"/>
                <w:b/>
                <w:sz w:val="16"/>
              </w:rPr>
              <w:t>背景</w:t>
            </w:r>
          </w:p>
        </w:tc>
        <w:tc>
          <w:tcPr>
            <w:tcW w:type="dxa" w:w="1345"/>
            <w:vAlign w:val="center"/>
            <w:shd w:fill="E7EEF8"/>
          </w:tcPr>
          <w:p>
            <w:pPr>
              <w:spacing w:after="0" w:before="0"/>
              <w:jc w:val="center"/>
            </w:pPr>
            <w:r/>
            <w:r>
              <w:rPr>
                <w:rFonts w:ascii="Noto Serif CJK SC" w:hAnsi="Noto Serif CJK SC" w:eastAsia="Noto Serif CJK SC"/>
                <w:b/>
                <w:sz w:val="16"/>
              </w:rPr>
              <w:t>运动</w:t>
            </w:r>
          </w:p>
        </w:tc>
        <w:tc>
          <w:tcPr>
            <w:tcW w:type="dxa" w:w="1345"/>
            <w:vAlign w:val="center"/>
            <w:shd w:fill="E7EEF8"/>
          </w:tcPr>
          <w:p>
            <w:pPr>
              <w:spacing w:after="0" w:before="0"/>
              <w:jc w:val="center"/>
            </w:pPr>
            <w:r/>
            <w:r>
              <w:rPr>
                <w:rFonts w:ascii="Noto Serif CJK SC" w:hAnsi="Noto Serif CJK SC" w:eastAsia="Noto Serif CJK SC"/>
                <w:b/>
                <w:sz w:val="16"/>
              </w:rPr>
              <w:t>动态</w:t>
            </w:r>
          </w:p>
        </w:tc>
        <w:tc>
          <w:tcPr>
            <w:tcW w:type="dxa" w:w="1345"/>
            <w:vAlign w:val="center"/>
            <w:shd w:fill="E7EEF8"/>
          </w:tcPr>
          <w:p>
            <w:pPr>
              <w:spacing w:after="0" w:before="0"/>
              <w:jc w:val="center"/>
            </w:pPr>
            <w:r/>
            <w:r>
              <w:rPr>
                <w:rFonts w:ascii="Noto Serif CJK SC" w:hAnsi="Noto Serif CJK SC" w:eastAsia="Noto Serif CJK SC"/>
                <w:b/>
                <w:sz w:val="16"/>
              </w:rPr>
              <w:t>美学</w:t>
            </w:r>
          </w:p>
        </w:tc>
        <w:tc>
          <w:tcPr>
            <w:tcW w:type="dxa" w:w="1345"/>
            <w:vAlign w:val="center"/>
            <w:shd w:fill="E7EEF8"/>
          </w:tcPr>
          <w:p>
            <w:pPr>
              <w:spacing w:after="0" w:before="0"/>
              <w:jc w:val="center"/>
            </w:pPr>
            <w:r/>
            <w:r>
              <w:rPr>
                <w:rFonts w:ascii="Noto Serif CJK SC" w:hAnsi="Noto Serif CJK SC" w:eastAsia="Noto Serif CJK SC"/>
                <w:b/>
                <w:sz w:val="16"/>
              </w:rPr>
              <w:t>成像</w:t>
            </w:r>
          </w:p>
        </w:tc>
      </w:tr>
      <w:tr>
        <w:tc>
          <w:tcPr>
            <w:tcW w:type="dxa" w:w="1345"/>
            <w:vAlign w:val="center"/>
          </w:tcPr>
          <w:p>
            <w:pPr>
              <w:spacing w:after="0" w:before="0"/>
              <w:jc w:val="center"/>
            </w:pPr>
            <w:r/>
            <w:r>
              <w:rPr>
                <w:rFonts w:ascii="Noto Serif CJK SC" w:hAnsi="Noto Serif CJK SC" w:eastAsia="Noto Serif CJK SC"/>
                <w:b w:val="0"/>
                <w:sz w:val="16"/>
              </w:rPr>
              <w:t>Native-HR Sampling</w:t>
            </w:r>
          </w:p>
        </w:tc>
        <w:tc>
          <w:tcPr>
            <w:tcW w:type="dxa" w:w="1345"/>
            <w:vAlign w:val="center"/>
          </w:tcPr>
          <w:p>
            <w:pPr>
              <w:spacing w:after="0" w:before="0"/>
              <w:jc w:val="center"/>
            </w:pPr>
            <w:r/>
            <w:r>
              <w:rPr>
                <w:rFonts w:ascii="Noto Serif CJK SC" w:hAnsi="Noto Serif CJK SC" w:eastAsia="Noto Serif CJK SC"/>
                <w:b w:val="0"/>
                <w:sz w:val="16"/>
              </w:rPr>
              <w:t>0.9614</w:t>
            </w:r>
          </w:p>
        </w:tc>
        <w:tc>
          <w:tcPr>
            <w:tcW w:type="dxa" w:w="1345"/>
            <w:vAlign w:val="center"/>
          </w:tcPr>
          <w:p>
            <w:pPr>
              <w:spacing w:after="0" w:before="0"/>
              <w:jc w:val="center"/>
            </w:pPr>
            <w:r/>
            <w:r>
              <w:rPr>
                <w:rFonts w:ascii="Noto Serif CJK SC" w:hAnsi="Noto Serif CJK SC" w:eastAsia="Noto Serif CJK SC"/>
                <w:b w:val="0"/>
                <w:sz w:val="16"/>
              </w:rPr>
              <w:t>0.9696</w:t>
            </w:r>
          </w:p>
        </w:tc>
        <w:tc>
          <w:tcPr>
            <w:tcW w:type="dxa" w:w="1345"/>
            <w:vAlign w:val="center"/>
          </w:tcPr>
          <w:p>
            <w:pPr>
              <w:spacing w:after="0" w:before="0"/>
              <w:jc w:val="center"/>
            </w:pPr>
            <w:r/>
            <w:r>
              <w:rPr>
                <w:rFonts w:ascii="Noto Serif CJK SC" w:hAnsi="Noto Serif CJK SC" w:eastAsia="Noto Serif CJK SC"/>
                <w:b w:val="0"/>
                <w:sz w:val="16"/>
              </w:rPr>
              <w:t>0.9848</w:t>
            </w:r>
          </w:p>
        </w:tc>
        <w:tc>
          <w:tcPr>
            <w:tcW w:type="dxa" w:w="1345"/>
            <w:vAlign w:val="center"/>
          </w:tcPr>
          <w:p>
            <w:pPr>
              <w:spacing w:after="0" w:before="0"/>
              <w:jc w:val="center"/>
            </w:pPr>
            <w:r/>
            <w:r>
              <w:rPr>
                <w:rFonts w:ascii="Noto Serif CJK SC" w:hAnsi="Noto Serif CJK SC" w:eastAsia="Noto Serif CJK SC"/>
                <w:b w:val="0"/>
                <w:sz w:val="16"/>
              </w:rPr>
              <w:t>0.6000</w:t>
            </w:r>
          </w:p>
        </w:tc>
        <w:tc>
          <w:tcPr>
            <w:tcW w:type="dxa" w:w="1345"/>
            <w:vAlign w:val="center"/>
          </w:tcPr>
          <w:p>
            <w:pPr>
              <w:spacing w:after="0" w:before="0"/>
              <w:jc w:val="center"/>
            </w:pPr>
            <w:r/>
            <w:r>
              <w:rPr>
                <w:rFonts w:ascii="Noto Serif CJK SC" w:hAnsi="Noto Serif CJK SC" w:eastAsia="Noto Serif CJK SC"/>
                <w:b w:val="0"/>
                <w:sz w:val="16"/>
              </w:rPr>
              <w:t>0.5949</w:t>
            </w:r>
          </w:p>
        </w:tc>
        <w:tc>
          <w:tcPr>
            <w:tcW w:type="dxa" w:w="1345"/>
            <w:vAlign w:val="center"/>
          </w:tcPr>
          <w:p>
            <w:pPr>
              <w:spacing w:after="0" w:before="0"/>
              <w:jc w:val="center"/>
            </w:pPr>
            <w:r/>
            <w:r>
              <w:rPr>
                <w:rFonts w:ascii="Noto Serif CJK SC" w:hAnsi="Noto Serif CJK SC" w:eastAsia="Noto Serif CJK SC"/>
                <w:b w:val="0"/>
                <w:sz w:val="16"/>
              </w:rPr>
              <w:t>0.6311</w:t>
            </w:r>
          </w:p>
        </w:tc>
      </w:tr>
      <w:tr>
        <w:tc>
          <w:tcPr>
            <w:tcW w:type="dxa" w:w="1345"/>
            <w:vAlign w:val="center"/>
          </w:tcPr>
          <w:p>
            <w:pPr>
              <w:spacing w:after="0" w:before="0"/>
              <w:jc w:val="center"/>
            </w:pPr>
            <w:r/>
            <w:r>
              <w:rPr>
                <w:rFonts w:ascii="Noto Serif CJK SC" w:hAnsi="Noto Serif CJK SC" w:eastAsia="Noto Serif CJK SC"/>
                <w:b w:val="0"/>
                <w:sz w:val="16"/>
              </w:rPr>
              <w:t>TrajScale-Q（第 40 步）</w:t>
            </w:r>
          </w:p>
        </w:tc>
        <w:tc>
          <w:tcPr>
            <w:tcW w:type="dxa" w:w="1345"/>
            <w:vAlign w:val="center"/>
          </w:tcPr>
          <w:p>
            <w:pPr>
              <w:spacing w:after="0" w:before="0"/>
              <w:jc w:val="center"/>
            </w:pPr>
            <w:r/>
            <w:r>
              <w:rPr>
                <w:rFonts w:ascii="Noto Serif CJK SC" w:hAnsi="Noto Serif CJK SC" w:eastAsia="Noto Serif CJK SC"/>
                <w:b w:val="0"/>
                <w:sz w:val="16"/>
              </w:rPr>
              <w:t>0.9271</w:t>
            </w:r>
          </w:p>
        </w:tc>
        <w:tc>
          <w:tcPr>
            <w:tcW w:type="dxa" w:w="1345"/>
            <w:vAlign w:val="center"/>
          </w:tcPr>
          <w:p>
            <w:pPr>
              <w:spacing w:after="0" w:before="0"/>
              <w:jc w:val="center"/>
            </w:pPr>
            <w:r/>
            <w:r>
              <w:rPr>
                <w:rFonts w:ascii="Noto Serif CJK SC" w:hAnsi="Noto Serif CJK SC" w:eastAsia="Noto Serif CJK SC"/>
                <w:b w:val="0"/>
                <w:sz w:val="16"/>
              </w:rPr>
              <w:t>0.9595</w:t>
            </w:r>
          </w:p>
        </w:tc>
        <w:tc>
          <w:tcPr>
            <w:tcW w:type="dxa" w:w="1345"/>
            <w:vAlign w:val="center"/>
          </w:tcPr>
          <w:p>
            <w:pPr>
              <w:spacing w:after="0" w:before="0"/>
              <w:jc w:val="center"/>
            </w:pPr>
            <w:r/>
            <w:r>
              <w:rPr>
                <w:rFonts w:ascii="Noto Serif CJK SC" w:hAnsi="Noto Serif CJK SC" w:eastAsia="Noto Serif CJK SC"/>
                <w:b w:val="0"/>
                <w:sz w:val="16"/>
              </w:rPr>
              <w:t>0.9798</w:t>
            </w:r>
          </w:p>
        </w:tc>
        <w:tc>
          <w:tcPr>
            <w:tcW w:type="dxa" w:w="1345"/>
            <w:vAlign w:val="center"/>
          </w:tcPr>
          <w:p>
            <w:pPr>
              <w:spacing w:after="0" w:before="0"/>
              <w:jc w:val="center"/>
            </w:pPr>
            <w:r/>
            <w:r>
              <w:rPr>
                <w:rFonts w:ascii="Noto Serif CJK SC" w:hAnsi="Noto Serif CJK SC" w:eastAsia="Noto Serif CJK SC"/>
                <w:b w:val="0"/>
                <w:sz w:val="16"/>
              </w:rPr>
              <w:t>0.7000</w:t>
            </w:r>
          </w:p>
        </w:tc>
        <w:tc>
          <w:tcPr>
            <w:tcW w:type="dxa" w:w="1345"/>
            <w:vAlign w:val="center"/>
          </w:tcPr>
          <w:p>
            <w:pPr>
              <w:spacing w:after="0" w:before="0"/>
              <w:jc w:val="center"/>
            </w:pPr>
            <w:r/>
            <w:r>
              <w:rPr>
                <w:rFonts w:ascii="Noto Serif CJK SC" w:hAnsi="Noto Serif CJK SC" w:eastAsia="Noto Serif CJK SC"/>
                <w:b w:val="0"/>
                <w:sz w:val="16"/>
              </w:rPr>
              <w:t>0.5945</w:t>
            </w:r>
          </w:p>
        </w:tc>
        <w:tc>
          <w:tcPr>
            <w:tcW w:type="dxa" w:w="1345"/>
            <w:vAlign w:val="center"/>
          </w:tcPr>
          <w:p>
            <w:pPr>
              <w:spacing w:after="0" w:before="0"/>
              <w:jc w:val="center"/>
            </w:pPr>
            <w:r/>
            <w:r>
              <w:rPr>
                <w:rFonts w:ascii="Noto Serif CJK SC" w:hAnsi="Noto Serif CJK SC" w:eastAsia="Noto Serif CJK SC"/>
                <w:b w:val="0"/>
                <w:sz w:val="16"/>
              </w:rPr>
              <w:t>0.5883</w:t>
            </w:r>
          </w:p>
        </w:tc>
      </w:tr>
      <w:tr>
        <w:tc>
          <w:tcPr>
            <w:tcW w:type="dxa" w:w="1345"/>
            <w:vAlign w:val="center"/>
          </w:tcPr>
          <w:p>
            <w:pPr>
              <w:spacing w:after="0" w:before="0"/>
              <w:jc w:val="center"/>
            </w:pPr>
            <w:r/>
            <w:r>
              <w:rPr>
                <w:rFonts w:ascii="Noto Serif CJK SC" w:hAnsi="Noto Serif CJK SC" w:eastAsia="Noto Serif CJK SC"/>
                <w:b w:val="0"/>
                <w:sz w:val="16"/>
              </w:rPr>
              <w:t>TrajScale-E（第 45 步）</w:t>
            </w:r>
          </w:p>
        </w:tc>
        <w:tc>
          <w:tcPr>
            <w:tcW w:type="dxa" w:w="1345"/>
            <w:vAlign w:val="center"/>
          </w:tcPr>
          <w:p>
            <w:pPr>
              <w:spacing w:after="0" w:before="0"/>
              <w:jc w:val="center"/>
            </w:pPr>
            <w:r/>
            <w:r>
              <w:rPr>
                <w:rFonts w:ascii="Noto Serif CJK SC" w:hAnsi="Noto Serif CJK SC" w:eastAsia="Noto Serif CJK SC"/>
                <w:b w:val="0"/>
                <w:sz w:val="16"/>
              </w:rPr>
              <w:t>0.9236</w:t>
            </w:r>
          </w:p>
        </w:tc>
        <w:tc>
          <w:tcPr>
            <w:tcW w:type="dxa" w:w="1345"/>
            <w:vAlign w:val="center"/>
          </w:tcPr>
          <w:p>
            <w:pPr>
              <w:spacing w:after="0" w:before="0"/>
              <w:jc w:val="center"/>
            </w:pPr>
            <w:r/>
            <w:r>
              <w:rPr>
                <w:rFonts w:ascii="Noto Serif CJK SC" w:hAnsi="Noto Serif CJK SC" w:eastAsia="Noto Serif CJK SC"/>
                <w:b w:val="0"/>
                <w:sz w:val="16"/>
              </w:rPr>
              <w:t>0.9584</w:t>
            </w:r>
          </w:p>
        </w:tc>
        <w:tc>
          <w:tcPr>
            <w:tcW w:type="dxa" w:w="1345"/>
            <w:vAlign w:val="center"/>
          </w:tcPr>
          <w:p>
            <w:pPr>
              <w:spacing w:after="0" w:before="0"/>
              <w:jc w:val="center"/>
            </w:pPr>
            <w:r/>
            <w:r>
              <w:rPr>
                <w:rFonts w:ascii="Noto Serif CJK SC" w:hAnsi="Noto Serif CJK SC" w:eastAsia="Noto Serif CJK SC"/>
                <w:b w:val="0"/>
                <w:sz w:val="16"/>
              </w:rPr>
              <w:t>0.9796</w:t>
            </w:r>
          </w:p>
        </w:tc>
        <w:tc>
          <w:tcPr>
            <w:tcW w:type="dxa" w:w="1345"/>
            <w:vAlign w:val="center"/>
          </w:tcPr>
          <w:p>
            <w:pPr>
              <w:spacing w:after="0" w:before="0"/>
              <w:jc w:val="center"/>
            </w:pPr>
            <w:r/>
            <w:r>
              <w:rPr>
                <w:rFonts w:ascii="Noto Serif CJK SC" w:hAnsi="Noto Serif CJK SC" w:eastAsia="Noto Serif CJK SC"/>
                <w:b w:val="0"/>
                <w:sz w:val="16"/>
              </w:rPr>
              <w:t>0.7000</w:t>
            </w:r>
          </w:p>
        </w:tc>
        <w:tc>
          <w:tcPr>
            <w:tcW w:type="dxa" w:w="1345"/>
            <w:vAlign w:val="center"/>
          </w:tcPr>
          <w:p>
            <w:pPr>
              <w:spacing w:after="0" w:before="0"/>
              <w:jc w:val="center"/>
            </w:pPr>
            <w:r/>
            <w:r>
              <w:rPr>
                <w:rFonts w:ascii="Noto Serif CJK SC" w:hAnsi="Noto Serif CJK SC" w:eastAsia="Noto Serif CJK SC"/>
                <w:b w:val="0"/>
                <w:sz w:val="16"/>
              </w:rPr>
              <w:t>0.5803</w:t>
            </w:r>
          </w:p>
        </w:tc>
        <w:tc>
          <w:tcPr>
            <w:tcW w:type="dxa" w:w="1345"/>
            <w:vAlign w:val="center"/>
          </w:tcPr>
          <w:p>
            <w:pPr>
              <w:spacing w:after="0" w:before="0"/>
              <w:jc w:val="center"/>
            </w:pPr>
            <w:r/>
            <w:r>
              <w:rPr>
                <w:rFonts w:ascii="Noto Serif CJK SC" w:hAnsi="Noto Serif CJK SC" w:eastAsia="Noto Serif CJK SC"/>
                <w:b w:val="0"/>
                <w:sz w:val="16"/>
              </w:rPr>
              <w:t>0.5977</w:t>
            </w:r>
          </w:p>
        </w:tc>
      </w:tr>
      <w:tr>
        <w:tc>
          <w:tcPr>
            <w:tcW w:type="dxa" w:w="1345"/>
            <w:vAlign w:val="center"/>
          </w:tcPr>
          <w:p>
            <w:pPr>
              <w:spacing w:after="0" w:before="0"/>
              <w:jc w:val="center"/>
            </w:pPr>
            <w:r/>
            <w:r>
              <w:rPr>
                <w:rFonts w:ascii="Noto Serif CJK SC" w:hAnsi="Noto Serif CJK SC" w:eastAsia="Noto Serif CJK SC"/>
                <w:b w:val="0"/>
                <w:sz w:val="16"/>
              </w:rPr>
              <w:t>生成后潜变量级联</w:t>
            </w:r>
          </w:p>
        </w:tc>
        <w:tc>
          <w:tcPr>
            <w:tcW w:type="dxa" w:w="1345"/>
            <w:vAlign w:val="center"/>
          </w:tcPr>
          <w:p>
            <w:pPr>
              <w:spacing w:after="0" w:before="0"/>
              <w:jc w:val="center"/>
            </w:pPr>
            <w:r/>
            <w:r>
              <w:rPr>
                <w:rFonts w:ascii="Noto Serif CJK SC" w:hAnsi="Noto Serif CJK SC" w:eastAsia="Noto Serif CJK SC"/>
                <w:b w:val="0"/>
                <w:sz w:val="16"/>
              </w:rPr>
              <w:t>0.9259</w:t>
            </w:r>
          </w:p>
        </w:tc>
        <w:tc>
          <w:tcPr>
            <w:tcW w:type="dxa" w:w="1345"/>
            <w:vAlign w:val="center"/>
          </w:tcPr>
          <w:p>
            <w:pPr>
              <w:spacing w:after="0" w:before="0"/>
              <w:jc w:val="center"/>
            </w:pPr>
            <w:r/>
            <w:r>
              <w:rPr>
                <w:rFonts w:ascii="Noto Serif CJK SC" w:hAnsi="Noto Serif CJK SC" w:eastAsia="Noto Serif CJK SC"/>
                <w:b w:val="0"/>
                <w:sz w:val="16"/>
              </w:rPr>
              <w:t>0.9545</w:t>
            </w:r>
          </w:p>
        </w:tc>
        <w:tc>
          <w:tcPr>
            <w:tcW w:type="dxa" w:w="1345"/>
            <w:vAlign w:val="center"/>
          </w:tcPr>
          <w:p>
            <w:pPr>
              <w:spacing w:after="0" w:before="0"/>
              <w:jc w:val="center"/>
            </w:pPr>
            <w:r/>
            <w:r>
              <w:rPr>
                <w:rFonts w:ascii="Noto Serif CJK SC" w:hAnsi="Noto Serif CJK SC" w:eastAsia="Noto Serif CJK SC"/>
                <w:b w:val="0"/>
                <w:sz w:val="16"/>
              </w:rPr>
              <w:t>0.9800</w:t>
            </w:r>
          </w:p>
        </w:tc>
        <w:tc>
          <w:tcPr>
            <w:tcW w:type="dxa" w:w="1345"/>
            <w:vAlign w:val="center"/>
          </w:tcPr>
          <w:p>
            <w:pPr>
              <w:spacing w:after="0" w:before="0"/>
              <w:jc w:val="center"/>
            </w:pPr>
            <w:r/>
            <w:r>
              <w:rPr>
                <w:rFonts w:ascii="Noto Serif CJK SC" w:hAnsi="Noto Serif CJK SC" w:eastAsia="Noto Serif CJK SC"/>
                <w:b w:val="0"/>
                <w:sz w:val="16"/>
              </w:rPr>
              <w:t>0.7000</w:t>
            </w:r>
          </w:p>
        </w:tc>
        <w:tc>
          <w:tcPr>
            <w:tcW w:type="dxa" w:w="1345"/>
            <w:vAlign w:val="center"/>
          </w:tcPr>
          <w:p>
            <w:pPr>
              <w:spacing w:after="0" w:before="0"/>
              <w:jc w:val="center"/>
            </w:pPr>
            <w:r/>
            <w:r>
              <w:rPr>
                <w:rFonts w:ascii="Noto Serif CJK SC" w:hAnsi="Noto Serif CJK SC" w:eastAsia="Noto Serif CJK SC"/>
                <w:b w:val="0"/>
                <w:sz w:val="16"/>
              </w:rPr>
              <w:t>0.5710</w:t>
            </w:r>
          </w:p>
        </w:tc>
        <w:tc>
          <w:tcPr>
            <w:tcW w:type="dxa" w:w="1345"/>
            <w:vAlign w:val="center"/>
          </w:tcPr>
          <w:p>
            <w:pPr>
              <w:spacing w:after="0" w:before="0"/>
              <w:jc w:val="center"/>
            </w:pPr>
            <w:r/>
            <w:r>
              <w:rPr>
                <w:rFonts w:ascii="Noto Serif CJK SC" w:hAnsi="Noto Serif CJK SC" w:eastAsia="Noto Serif CJK SC"/>
                <w:b w:val="0"/>
                <w:sz w:val="16"/>
              </w:rPr>
              <w:t>0.5732</w:t>
            </w:r>
          </w:p>
        </w:tc>
      </w:tr>
    </w:tbl>
    <w:p>
      <w:pPr>
        <w:spacing w:after="0"/>
      </w:pPr>
    </w:p>
    <w:p>
      <w:pPr>
        <w:spacing w:before="40" w:after="160"/>
        <w:jc w:val="center"/>
      </w:pPr>
      <w:r>
        <w:rPr>
          <w:rFonts w:ascii="Noto Serif CJK SC" w:hAnsi="Noto Serif CJK SC" w:eastAsia="Noto Serif CJK SC"/>
          <w:sz w:val="18"/>
        </w:rPr>
        <w:t>表 1：系统级比较。时间为五次冷启动运行的平均值；六个 VBench 维度在十个匹配提示词上采用自定义输入协议评估，包含全部处理开销。</w:t>
      </w:r>
    </w:p>
    <w:p>
      <w:pPr>
        <w:pStyle w:val="Heading2"/>
      </w:pPr>
      <w:r>
        <w:t>5.2 组件分析</w:t>
      </w:r>
    </w:p>
    <w:p>
      <w:pPr>
        <w:spacing w:line="324" w:lineRule="auto" w:after="80"/>
        <w:ind w:firstLine="420"/>
        <w:jc w:val="both"/>
      </w:pPr>
      <w:r>
        <w:rPr>
          <w:rFonts w:ascii="Noto Serif CJK SC" w:hAnsi="Noto Serif CJK SC" w:eastAsia="Noto Serif CJK SC"/>
          <w:sz w:val="21"/>
        </w:rPr>
        <w:t>跨分辨率潜变量上采样。表 2 在不考虑切换时刻失配的情况下，单独评估跨分辨率算子。在 50 对干净潜变量样本上，CRLU 显著优于三线性插值。对于 480p → 720p，潜变量 L1 从 0.1929 降至 0.0991，降幅为 48.6%；解码 PSNR 提高 5.71 dB；LPIPS 从 0.2358 降至 0.0629；时间 L1 降低 30.8%。在 PSNR、LPIPS 和时间一致性上，CRLU 对全部 50 个样本均获胜；在 SSIM 上则对 50 个样本中的 49 个获胜。</w:t>
      </w:r>
    </w:p>
    <w:p>
      <w:pPr>
        <w:spacing w:line="324" w:lineRule="auto" w:after="80"/>
        <w:ind w:firstLine="420"/>
        <w:jc w:val="both"/>
      </w:pPr>
      <w:r>
        <w:rPr>
          <w:rFonts w:ascii="Noto Serif CJK SC" w:hAnsi="Noto Serif CJK SC" w:eastAsia="Noto Serif CJK SC"/>
          <w:sz w:val="21"/>
        </w:rPr>
        <w:t>更激进的 368p → 720p 切换也呈现相同趋势：潜变量 L1、LPIPS 和时间 L1 分别降低 33.4%、51.1% 和 15.5%。这些改进表明，主要跨分辨率能力来自对 VAE 特定潜变量对应关系的学习，而非只依赖几何缩放规则。</w:t>
      </w:r>
    </w:p>
    <w:tbl>
      <w:tblPr>
        <w:tblStyle w:val="TableGrid"/>
        <w:tblW w:type="auto" w:w="0"/>
        <w:jc w:val="center"/>
        <w:tblLayout w:type="autofit"/>
        <w:tblLook w:firstColumn="1" w:firstRow="1" w:lastColumn="0" w:lastRow="0" w:noHBand="0" w:noVBand="1" w:val="04A0"/>
      </w:tblPr>
      <w:tblGrid>
        <w:gridCol w:w="1345"/>
        <w:gridCol w:w="1345"/>
        <w:gridCol w:w="1345"/>
        <w:gridCol w:w="1345"/>
        <w:gridCol w:w="1345"/>
        <w:gridCol w:w="1345"/>
        <w:gridCol w:w="1345"/>
      </w:tblGrid>
      <w:tr>
        <w:trPr>
          <w:tblHeader w:val="true"/>
        </w:trPr>
        <w:tc>
          <w:tcPr>
            <w:tcW w:type="dxa" w:w="1345"/>
            <w:vAlign w:val="center"/>
            <w:shd w:fill="E7EEF8"/>
          </w:tcPr>
          <w:p>
            <w:pPr>
              <w:spacing w:after="0" w:before="0"/>
              <w:jc w:val="center"/>
            </w:pPr>
            <w:r/>
            <w:r>
              <w:rPr>
                <w:rFonts w:ascii="Noto Serif CJK SC" w:hAnsi="Noto Serif CJK SC" w:eastAsia="Noto Serif CJK SC"/>
                <w:b/>
                <w:sz w:val="16"/>
              </w:rPr>
              <w:t>输入 → 输出</w:t>
            </w:r>
          </w:p>
        </w:tc>
        <w:tc>
          <w:tcPr>
            <w:tcW w:type="dxa" w:w="1345"/>
            <w:vAlign w:val="center"/>
            <w:shd w:fill="E7EEF8"/>
          </w:tcPr>
          <w:p>
            <w:pPr>
              <w:spacing w:after="0" w:before="0"/>
              <w:jc w:val="center"/>
            </w:pPr>
            <w:r/>
            <w:r>
              <w:rPr>
                <w:rFonts w:ascii="Noto Serif CJK SC" w:hAnsi="Noto Serif CJK SC" w:eastAsia="Noto Serif CJK SC"/>
                <w:b/>
                <w:sz w:val="16"/>
              </w:rPr>
              <w:t>算子</w:t>
            </w:r>
          </w:p>
        </w:tc>
        <w:tc>
          <w:tcPr>
            <w:tcW w:type="dxa" w:w="1345"/>
            <w:vAlign w:val="center"/>
            <w:shd w:fill="E7EEF8"/>
          </w:tcPr>
          <w:p>
            <w:pPr>
              <w:spacing w:after="0" w:before="0"/>
              <w:jc w:val="center"/>
            </w:pPr>
            <w:r/>
            <w:r>
              <w:rPr>
                <w:rFonts w:ascii="Noto Serif CJK SC" w:hAnsi="Noto Serif CJK SC" w:eastAsia="Noto Serif CJK SC"/>
                <w:b/>
                <w:sz w:val="16"/>
              </w:rPr>
              <w:t>潜变量 L1↓</w:t>
            </w:r>
          </w:p>
        </w:tc>
        <w:tc>
          <w:tcPr>
            <w:tcW w:type="dxa" w:w="1345"/>
            <w:vAlign w:val="center"/>
            <w:shd w:fill="E7EEF8"/>
          </w:tcPr>
          <w:p>
            <w:pPr>
              <w:spacing w:after="0" w:before="0"/>
              <w:jc w:val="center"/>
            </w:pPr>
            <w:r/>
            <w:r>
              <w:rPr>
                <w:rFonts w:ascii="Noto Serif CJK SC" w:hAnsi="Noto Serif CJK SC" w:eastAsia="Noto Serif CJK SC"/>
                <w:b/>
                <w:sz w:val="16"/>
              </w:rPr>
              <w:t>PSNR↑</w:t>
            </w:r>
          </w:p>
        </w:tc>
        <w:tc>
          <w:tcPr>
            <w:tcW w:type="dxa" w:w="1345"/>
            <w:vAlign w:val="center"/>
            <w:shd w:fill="E7EEF8"/>
          </w:tcPr>
          <w:p>
            <w:pPr>
              <w:spacing w:after="0" w:before="0"/>
              <w:jc w:val="center"/>
            </w:pPr>
            <w:r/>
            <w:r>
              <w:rPr>
                <w:rFonts w:ascii="Noto Serif CJK SC" w:hAnsi="Noto Serif CJK SC" w:eastAsia="Noto Serif CJK SC"/>
                <w:b/>
                <w:sz w:val="16"/>
              </w:rPr>
              <w:t>SSIM↑</w:t>
            </w:r>
          </w:p>
        </w:tc>
        <w:tc>
          <w:tcPr>
            <w:tcW w:type="dxa" w:w="1345"/>
            <w:vAlign w:val="center"/>
            <w:shd w:fill="E7EEF8"/>
          </w:tcPr>
          <w:p>
            <w:pPr>
              <w:spacing w:after="0" w:before="0"/>
              <w:jc w:val="center"/>
            </w:pPr>
            <w:r/>
            <w:r>
              <w:rPr>
                <w:rFonts w:ascii="Noto Serif CJK SC" w:hAnsi="Noto Serif CJK SC" w:eastAsia="Noto Serif CJK SC"/>
                <w:b/>
                <w:sz w:val="16"/>
              </w:rPr>
              <w:t>LPIPS↓</w:t>
            </w:r>
          </w:p>
        </w:tc>
        <w:tc>
          <w:tcPr>
            <w:tcW w:type="dxa" w:w="1345"/>
            <w:vAlign w:val="center"/>
            <w:shd w:fill="E7EEF8"/>
          </w:tcPr>
          <w:p>
            <w:pPr>
              <w:spacing w:after="0" w:before="0"/>
              <w:jc w:val="center"/>
            </w:pPr>
            <w:r/>
            <w:r>
              <w:rPr>
                <w:rFonts w:ascii="Noto Serif CJK SC" w:hAnsi="Noto Serif CJK SC" w:eastAsia="Noto Serif CJK SC"/>
                <w:b/>
                <w:sz w:val="16"/>
              </w:rPr>
              <w:t>时间 L1↓</w:t>
            </w:r>
          </w:p>
        </w:tc>
      </w:tr>
      <w:tr>
        <w:tc>
          <w:tcPr>
            <w:tcW w:type="dxa" w:w="1345"/>
            <w:vAlign w:val="center"/>
          </w:tcPr>
          <w:p>
            <w:pPr>
              <w:spacing w:after="0" w:before="0"/>
              <w:jc w:val="center"/>
            </w:pPr>
            <w:r/>
            <w:r>
              <w:rPr>
                <w:rFonts w:ascii="Noto Serif CJK SC" w:hAnsi="Noto Serif CJK SC" w:eastAsia="Noto Serif CJK SC"/>
                <w:b w:val="0"/>
                <w:sz w:val="16"/>
              </w:rPr>
              <w:t>480p → 720p</w:t>
            </w:r>
          </w:p>
        </w:tc>
        <w:tc>
          <w:tcPr>
            <w:tcW w:type="dxa" w:w="1345"/>
            <w:vAlign w:val="center"/>
          </w:tcPr>
          <w:p>
            <w:pPr>
              <w:spacing w:after="0" w:before="0"/>
              <w:jc w:val="center"/>
            </w:pPr>
            <w:r/>
            <w:r>
              <w:rPr>
                <w:rFonts w:ascii="Noto Serif CJK SC" w:hAnsi="Noto Serif CJK SC" w:eastAsia="Noto Serif CJK SC"/>
                <w:b w:val="0"/>
                <w:sz w:val="16"/>
              </w:rPr>
              <w:t>三线性插值</w:t>
            </w:r>
          </w:p>
        </w:tc>
        <w:tc>
          <w:tcPr>
            <w:tcW w:type="dxa" w:w="1345"/>
            <w:vAlign w:val="center"/>
          </w:tcPr>
          <w:p>
            <w:pPr>
              <w:spacing w:after="0" w:before="0"/>
              <w:jc w:val="center"/>
            </w:pPr>
            <w:r/>
            <w:r>
              <w:rPr>
                <w:rFonts w:ascii="Noto Serif CJK SC" w:hAnsi="Noto Serif CJK SC" w:eastAsia="Noto Serif CJK SC"/>
                <w:b w:val="0"/>
                <w:sz w:val="16"/>
              </w:rPr>
              <w:t>0.1929</w:t>
            </w:r>
          </w:p>
        </w:tc>
        <w:tc>
          <w:tcPr>
            <w:tcW w:type="dxa" w:w="1345"/>
            <w:vAlign w:val="center"/>
          </w:tcPr>
          <w:p>
            <w:pPr>
              <w:spacing w:after="0" w:before="0"/>
              <w:jc w:val="center"/>
            </w:pPr>
            <w:r/>
            <w:r>
              <w:rPr>
                <w:rFonts w:ascii="Noto Serif CJK SC" w:hAnsi="Noto Serif CJK SC" w:eastAsia="Noto Serif CJK SC"/>
                <w:b w:val="0"/>
                <w:sz w:val="16"/>
              </w:rPr>
              <w:t>24.29</w:t>
            </w:r>
          </w:p>
        </w:tc>
        <w:tc>
          <w:tcPr>
            <w:tcW w:type="dxa" w:w="1345"/>
            <w:vAlign w:val="center"/>
          </w:tcPr>
          <w:p>
            <w:pPr>
              <w:spacing w:after="0" w:before="0"/>
              <w:jc w:val="center"/>
            </w:pPr>
            <w:r/>
            <w:r>
              <w:rPr>
                <w:rFonts w:ascii="Noto Serif CJK SC" w:hAnsi="Noto Serif CJK SC" w:eastAsia="Noto Serif CJK SC"/>
                <w:b w:val="0"/>
                <w:sz w:val="16"/>
              </w:rPr>
              <w:t>0.7159</w:t>
            </w:r>
          </w:p>
        </w:tc>
        <w:tc>
          <w:tcPr>
            <w:tcW w:type="dxa" w:w="1345"/>
            <w:vAlign w:val="center"/>
          </w:tcPr>
          <w:p>
            <w:pPr>
              <w:spacing w:after="0" w:before="0"/>
              <w:jc w:val="center"/>
            </w:pPr>
            <w:r/>
            <w:r>
              <w:rPr>
                <w:rFonts w:ascii="Noto Serif CJK SC" w:hAnsi="Noto Serif CJK SC" w:eastAsia="Noto Serif CJK SC"/>
                <w:b w:val="0"/>
                <w:sz w:val="16"/>
              </w:rPr>
              <w:t>0.2358</w:t>
            </w:r>
          </w:p>
        </w:tc>
        <w:tc>
          <w:tcPr>
            <w:tcW w:type="dxa" w:w="1345"/>
            <w:vAlign w:val="center"/>
          </w:tcPr>
          <w:p>
            <w:pPr>
              <w:spacing w:after="0" w:before="0"/>
              <w:jc w:val="center"/>
            </w:pPr>
            <w:r/>
            <w:r>
              <w:rPr>
                <w:rFonts w:ascii="Noto Serif CJK SC" w:hAnsi="Noto Serif CJK SC" w:eastAsia="Noto Serif CJK SC"/>
                <w:b w:val="0"/>
                <w:sz w:val="16"/>
              </w:rPr>
              <w:t>0.02121</w:t>
            </w:r>
          </w:p>
        </w:tc>
      </w:tr>
      <w:tr>
        <w:tc>
          <w:tcPr>
            <w:tcW w:type="dxa" w:w="1345"/>
            <w:vAlign w:val="center"/>
          </w:tcPr>
          <w:p>
            <w:pPr>
              <w:spacing w:after="0" w:before="0"/>
              <w:jc w:val="center"/>
            </w:pPr>
            <w:r/>
            <w:r>
              <w:rPr>
                <w:rFonts w:ascii="Noto Serif CJK SC" w:hAnsi="Noto Serif CJK SC" w:eastAsia="Noto Serif CJK SC"/>
                <w:b w:val="0"/>
                <w:sz w:val="16"/>
              </w:rPr>
              <w:t>480p → 720p</w:t>
            </w:r>
          </w:p>
        </w:tc>
        <w:tc>
          <w:tcPr>
            <w:tcW w:type="dxa" w:w="1345"/>
            <w:vAlign w:val="center"/>
          </w:tcPr>
          <w:p>
            <w:pPr>
              <w:spacing w:after="0" w:before="0"/>
              <w:jc w:val="center"/>
            </w:pPr>
            <w:r/>
            <w:r>
              <w:rPr>
                <w:rFonts w:ascii="Noto Serif CJK SC" w:hAnsi="Noto Serif CJK SC" w:eastAsia="Noto Serif CJK SC"/>
                <w:b w:val="0"/>
                <w:sz w:val="16"/>
              </w:rPr>
              <w:t>CRLU</w:t>
            </w:r>
          </w:p>
        </w:tc>
        <w:tc>
          <w:tcPr>
            <w:tcW w:type="dxa" w:w="1345"/>
            <w:vAlign w:val="center"/>
          </w:tcPr>
          <w:p>
            <w:pPr>
              <w:spacing w:after="0" w:before="0"/>
              <w:jc w:val="center"/>
            </w:pPr>
            <w:r/>
            <w:r>
              <w:rPr>
                <w:rFonts w:ascii="Noto Serif CJK SC" w:hAnsi="Noto Serif CJK SC" w:eastAsia="Noto Serif CJK SC"/>
                <w:b w:val="0"/>
                <w:sz w:val="16"/>
              </w:rPr>
              <w:t>0.0991</w:t>
            </w:r>
          </w:p>
        </w:tc>
        <w:tc>
          <w:tcPr>
            <w:tcW w:type="dxa" w:w="1345"/>
            <w:vAlign w:val="center"/>
          </w:tcPr>
          <w:p>
            <w:pPr>
              <w:spacing w:after="0" w:before="0"/>
              <w:jc w:val="center"/>
            </w:pPr>
            <w:r/>
            <w:r>
              <w:rPr>
                <w:rFonts w:ascii="Noto Serif CJK SC" w:hAnsi="Noto Serif CJK SC" w:eastAsia="Noto Serif CJK SC"/>
                <w:b w:val="0"/>
                <w:sz w:val="16"/>
              </w:rPr>
              <w:t>30.00</w:t>
            </w:r>
          </w:p>
        </w:tc>
        <w:tc>
          <w:tcPr>
            <w:tcW w:type="dxa" w:w="1345"/>
            <w:vAlign w:val="center"/>
          </w:tcPr>
          <w:p>
            <w:pPr>
              <w:spacing w:after="0" w:before="0"/>
              <w:jc w:val="center"/>
            </w:pPr>
            <w:r/>
            <w:r>
              <w:rPr>
                <w:rFonts w:ascii="Noto Serif CJK SC" w:hAnsi="Noto Serif CJK SC" w:eastAsia="Noto Serif CJK SC"/>
                <w:b w:val="0"/>
                <w:sz w:val="16"/>
              </w:rPr>
              <w:t>0.8696</w:t>
            </w:r>
          </w:p>
        </w:tc>
        <w:tc>
          <w:tcPr>
            <w:tcW w:type="dxa" w:w="1345"/>
            <w:vAlign w:val="center"/>
          </w:tcPr>
          <w:p>
            <w:pPr>
              <w:spacing w:after="0" w:before="0"/>
              <w:jc w:val="center"/>
            </w:pPr>
            <w:r/>
            <w:r>
              <w:rPr>
                <w:rFonts w:ascii="Noto Serif CJK SC" w:hAnsi="Noto Serif CJK SC" w:eastAsia="Noto Serif CJK SC"/>
                <w:b w:val="0"/>
                <w:sz w:val="16"/>
              </w:rPr>
              <w:t>0.0629</w:t>
            </w:r>
          </w:p>
        </w:tc>
        <w:tc>
          <w:tcPr>
            <w:tcW w:type="dxa" w:w="1345"/>
            <w:vAlign w:val="center"/>
          </w:tcPr>
          <w:p>
            <w:pPr>
              <w:spacing w:after="0" w:before="0"/>
              <w:jc w:val="center"/>
            </w:pPr>
            <w:r/>
            <w:r>
              <w:rPr>
                <w:rFonts w:ascii="Noto Serif CJK SC" w:hAnsi="Noto Serif CJK SC" w:eastAsia="Noto Serif CJK SC"/>
                <w:b w:val="0"/>
                <w:sz w:val="16"/>
              </w:rPr>
              <w:t>0.01468</w:t>
            </w:r>
          </w:p>
        </w:tc>
      </w:tr>
      <w:tr>
        <w:tc>
          <w:tcPr>
            <w:tcW w:type="dxa" w:w="1345"/>
            <w:vAlign w:val="center"/>
          </w:tcPr>
          <w:p>
            <w:pPr>
              <w:spacing w:after="0" w:before="0"/>
              <w:jc w:val="center"/>
            </w:pPr>
            <w:r/>
            <w:r>
              <w:rPr>
                <w:rFonts w:ascii="Noto Serif CJK SC" w:hAnsi="Noto Serif CJK SC" w:eastAsia="Noto Serif CJK SC"/>
                <w:b w:val="0"/>
                <w:sz w:val="16"/>
              </w:rPr>
              <w:t>368p → 720p</w:t>
            </w:r>
          </w:p>
        </w:tc>
        <w:tc>
          <w:tcPr>
            <w:tcW w:type="dxa" w:w="1345"/>
            <w:vAlign w:val="center"/>
          </w:tcPr>
          <w:p>
            <w:pPr>
              <w:spacing w:after="0" w:before="0"/>
              <w:jc w:val="center"/>
            </w:pPr>
            <w:r/>
            <w:r>
              <w:rPr>
                <w:rFonts w:ascii="Noto Serif CJK SC" w:hAnsi="Noto Serif CJK SC" w:eastAsia="Noto Serif CJK SC"/>
                <w:b w:val="0"/>
                <w:sz w:val="16"/>
              </w:rPr>
              <w:t>三线性插值</w:t>
            </w:r>
          </w:p>
        </w:tc>
        <w:tc>
          <w:tcPr>
            <w:tcW w:type="dxa" w:w="1345"/>
            <w:vAlign w:val="center"/>
          </w:tcPr>
          <w:p>
            <w:pPr>
              <w:spacing w:after="0" w:before="0"/>
              <w:jc w:val="center"/>
            </w:pPr>
            <w:r/>
            <w:r>
              <w:rPr>
                <w:rFonts w:ascii="Noto Serif CJK SC" w:hAnsi="Noto Serif CJK SC" w:eastAsia="Noto Serif CJK SC"/>
                <w:b w:val="0"/>
                <w:sz w:val="16"/>
              </w:rPr>
              <w:t>0.2444</w:t>
            </w:r>
          </w:p>
        </w:tc>
        <w:tc>
          <w:tcPr>
            <w:tcW w:type="dxa" w:w="1345"/>
            <w:vAlign w:val="center"/>
          </w:tcPr>
          <w:p>
            <w:pPr>
              <w:spacing w:after="0" w:before="0"/>
              <w:jc w:val="center"/>
            </w:pPr>
            <w:r/>
            <w:r>
              <w:rPr>
                <w:rFonts w:ascii="Noto Serif CJK SC" w:hAnsi="Noto Serif CJK SC" w:eastAsia="Noto Serif CJK SC"/>
                <w:b w:val="0"/>
                <w:sz w:val="16"/>
              </w:rPr>
              <w:t>23.42</w:t>
            </w:r>
          </w:p>
        </w:tc>
        <w:tc>
          <w:tcPr>
            <w:tcW w:type="dxa" w:w="1345"/>
            <w:vAlign w:val="center"/>
          </w:tcPr>
          <w:p>
            <w:pPr>
              <w:spacing w:after="0" w:before="0"/>
              <w:jc w:val="center"/>
            </w:pPr>
            <w:r/>
            <w:r>
              <w:rPr>
                <w:rFonts w:ascii="Noto Serif CJK SC" w:hAnsi="Noto Serif CJK SC" w:eastAsia="Noto Serif CJK SC"/>
                <w:b w:val="0"/>
                <w:sz w:val="16"/>
              </w:rPr>
              <w:t>0.6740</w:t>
            </w:r>
          </w:p>
        </w:tc>
        <w:tc>
          <w:tcPr>
            <w:tcW w:type="dxa" w:w="1345"/>
            <w:vAlign w:val="center"/>
          </w:tcPr>
          <w:p>
            <w:pPr>
              <w:spacing w:after="0" w:before="0"/>
              <w:jc w:val="center"/>
            </w:pPr>
            <w:r/>
            <w:r>
              <w:rPr>
                <w:rFonts w:ascii="Noto Serif CJK SC" w:hAnsi="Noto Serif CJK SC" w:eastAsia="Noto Serif CJK SC"/>
                <w:b w:val="0"/>
                <w:sz w:val="16"/>
              </w:rPr>
              <w:t>0.3352</w:t>
            </w:r>
          </w:p>
        </w:tc>
        <w:tc>
          <w:tcPr>
            <w:tcW w:type="dxa" w:w="1345"/>
            <w:vAlign w:val="center"/>
          </w:tcPr>
          <w:p>
            <w:pPr>
              <w:spacing w:after="0" w:before="0"/>
              <w:jc w:val="center"/>
            </w:pPr>
            <w:r/>
            <w:r>
              <w:rPr>
                <w:rFonts w:ascii="Noto Serif CJK SC" w:hAnsi="Noto Serif CJK SC" w:eastAsia="Noto Serif CJK SC"/>
                <w:b w:val="0"/>
                <w:sz w:val="16"/>
              </w:rPr>
              <w:t>0.02388</w:t>
            </w:r>
          </w:p>
        </w:tc>
      </w:tr>
      <w:tr>
        <w:tc>
          <w:tcPr>
            <w:tcW w:type="dxa" w:w="1345"/>
            <w:vAlign w:val="center"/>
          </w:tcPr>
          <w:p>
            <w:pPr>
              <w:spacing w:after="0" w:before="0"/>
              <w:jc w:val="center"/>
            </w:pPr>
            <w:r/>
            <w:r>
              <w:rPr>
                <w:rFonts w:ascii="Noto Serif CJK SC" w:hAnsi="Noto Serif CJK SC" w:eastAsia="Noto Serif CJK SC"/>
                <w:b w:val="0"/>
                <w:sz w:val="16"/>
              </w:rPr>
              <w:t>368p → 720p</w:t>
            </w:r>
          </w:p>
        </w:tc>
        <w:tc>
          <w:tcPr>
            <w:tcW w:type="dxa" w:w="1345"/>
            <w:vAlign w:val="center"/>
          </w:tcPr>
          <w:p>
            <w:pPr>
              <w:spacing w:after="0" w:before="0"/>
              <w:jc w:val="center"/>
            </w:pPr>
            <w:r/>
            <w:r>
              <w:rPr>
                <w:rFonts w:ascii="Noto Serif CJK SC" w:hAnsi="Noto Serif CJK SC" w:eastAsia="Noto Serif CJK SC"/>
                <w:b w:val="0"/>
                <w:sz w:val="16"/>
              </w:rPr>
              <w:t>CRLU</w:t>
            </w:r>
          </w:p>
        </w:tc>
        <w:tc>
          <w:tcPr>
            <w:tcW w:type="dxa" w:w="1345"/>
            <w:vAlign w:val="center"/>
          </w:tcPr>
          <w:p>
            <w:pPr>
              <w:spacing w:after="0" w:before="0"/>
              <w:jc w:val="center"/>
            </w:pPr>
            <w:r/>
            <w:r>
              <w:rPr>
                <w:rFonts w:ascii="Noto Serif CJK SC" w:hAnsi="Noto Serif CJK SC" w:eastAsia="Noto Serif CJK SC"/>
                <w:b w:val="0"/>
                <w:sz w:val="16"/>
              </w:rPr>
              <w:t>0.1628</w:t>
            </w:r>
          </w:p>
        </w:tc>
        <w:tc>
          <w:tcPr>
            <w:tcW w:type="dxa" w:w="1345"/>
            <w:vAlign w:val="center"/>
          </w:tcPr>
          <w:p>
            <w:pPr>
              <w:spacing w:after="0" w:before="0"/>
              <w:jc w:val="center"/>
            </w:pPr>
            <w:r/>
            <w:r>
              <w:rPr>
                <w:rFonts w:ascii="Noto Serif CJK SC" w:hAnsi="Noto Serif CJK SC" w:eastAsia="Noto Serif CJK SC"/>
                <w:b w:val="0"/>
                <w:sz w:val="16"/>
              </w:rPr>
              <w:t>24.10</w:t>
            </w:r>
          </w:p>
        </w:tc>
        <w:tc>
          <w:tcPr>
            <w:tcW w:type="dxa" w:w="1345"/>
            <w:vAlign w:val="center"/>
          </w:tcPr>
          <w:p>
            <w:pPr>
              <w:spacing w:after="0" w:before="0"/>
              <w:jc w:val="center"/>
            </w:pPr>
            <w:r/>
            <w:r>
              <w:rPr>
                <w:rFonts w:ascii="Noto Serif CJK SC" w:hAnsi="Noto Serif CJK SC" w:eastAsia="Noto Serif CJK SC"/>
                <w:b w:val="0"/>
                <w:sz w:val="16"/>
              </w:rPr>
              <w:t>0.7592</w:t>
            </w:r>
          </w:p>
        </w:tc>
        <w:tc>
          <w:tcPr>
            <w:tcW w:type="dxa" w:w="1345"/>
            <w:vAlign w:val="center"/>
          </w:tcPr>
          <w:p>
            <w:pPr>
              <w:spacing w:after="0" w:before="0"/>
              <w:jc w:val="center"/>
            </w:pPr>
            <w:r/>
            <w:r>
              <w:rPr>
                <w:rFonts w:ascii="Noto Serif CJK SC" w:hAnsi="Noto Serif CJK SC" w:eastAsia="Noto Serif CJK SC"/>
                <w:b w:val="0"/>
                <w:sz w:val="16"/>
              </w:rPr>
              <w:t>0.1640</w:t>
            </w:r>
          </w:p>
        </w:tc>
        <w:tc>
          <w:tcPr>
            <w:tcW w:type="dxa" w:w="1345"/>
            <w:vAlign w:val="center"/>
          </w:tcPr>
          <w:p>
            <w:pPr>
              <w:spacing w:after="0" w:before="0"/>
              <w:jc w:val="center"/>
            </w:pPr>
            <w:r/>
            <w:r>
              <w:rPr>
                <w:rFonts w:ascii="Noto Serif CJK SC" w:hAnsi="Noto Serif CJK SC" w:eastAsia="Noto Serif CJK SC"/>
                <w:b w:val="0"/>
                <w:sz w:val="16"/>
              </w:rPr>
              <w:t>0.02017</w:t>
            </w:r>
          </w:p>
        </w:tc>
      </w:tr>
    </w:tbl>
    <w:p>
      <w:pPr>
        <w:spacing w:after="0"/>
      </w:pPr>
    </w:p>
    <w:p>
      <w:pPr>
        <w:spacing w:before="40" w:after="160"/>
        <w:jc w:val="center"/>
      </w:pPr>
      <w:r>
        <w:rPr>
          <w:rFonts w:ascii="Noto Serif CJK SC" w:hAnsi="Noto Serif CJK SC" w:eastAsia="Noto Serif CJK SC"/>
          <w:sz w:val="18"/>
        </w:rPr>
        <w:t>表 2：成对干净潜变量上 CRLU 与三线性插值的比较（n = 50）。</w:t>
      </w:r>
    </w:p>
    <w:p>
      <w:pPr>
        <w:spacing w:line="324" w:lineRule="auto" w:after="80"/>
        <w:ind w:firstLine="420"/>
        <w:jc w:val="both"/>
      </w:pPr>
      <w:r>
        <w:rPr>
          <w:rFonts w:ascii="Noto Serif CJK SC" w:hAnsi="Noto Serif CJK SC" w:eastAsia="Noto Serif CJK SC"/>
          <w:sz w:val="21"/>
        </w:rPr>
        <w:t>切换时刻终点对齐。在固定尺度算子的情况下，EAA 用于检验 CRLU 能否更可靠地部署在未收敛轨迹预测上。当推理强度 λ = 0.75 时，EAA 在第 40 步与第 45 步分别将低分辨率终点残差 L1 降低 25.82% 和 21.03%。两个设置均对全部 10 个评估样本产生改进，配对置信区间不跨越 0。EAA 还分别将解码 PSNR 提高 2.55 dB 和 2.23 dB，并将潜变量时间差分误差降低 23.44% 和 21.24%。在 4 步蒸馏模型上，它带来幅度较小但一致的 5.03% 终点误差下降。三组比较的配对胜率均为 10/0，双侧精确符号检验 p = 0.00195；完整置信区间见补充表 S2。</w:t>
      </w:r>
    </w:p>
    <w:p>
      <w:pPr>
        <w:spacing w:line="324" w:lineRule="auto" w:after="80"/>
        <w:ind w:firstLine="420"/>
        <w:jc w:val="both"/>
      </w:pPr>
      <w:r>
        <w:rPr>
          <w:rFonts w:ascii="Noto Serif CJK SC" w:hAnsi="Noto Serif CJK SC" w:eastAsia="Noto Serif CJK SC"/>
          <w:sz w:val="21"/>
        </w:rPr>
        <w:t>推理强度验证呈现非单调性。中间值 λ = 0.75 获得最低终点误差与最佳下游质量，而更弱或全强度的修正效果反而较差。因此，EAA 应被理解为经过校准的切换适配，而不是对冻结预测器的无限制替代。</w:t>
      </w:r>
    </w:p>
    <w:p>
      <w:pPr>
        <w:spacing w:line="324" w:lineRule="auto" w:after="80"/>
        <w:ind w:firstLine="420"/>
        <w:jc w:val="both"/>
      </w:pPr>
      <w:r>
        <w:rPr>
          <w:rFonts w:ascii="Noto Serif CJK SC" w:hAnsi="Noto Serif CJK SC" w:eastAsia="Noto Serif CJK SC"/>
          <w:sz w:val="21"/>
        </w:rPr>
        <w:t>分层模块效应。表 3 的 2×2 诊断验证了两个可学习模块的分层作用。用 CRLU 替代三线性插值提供了主要的广泛质量增益，在三条流水线中，美学质量和成像质量变化最为显著。在固定 CRLU 后，EAA 的作用更窄、更具切换位置特异性：它在第 40 步、第 45 步和 4 步采样器上分别将成像质量维度提高 +0.00599、+0.00254 和 +0.00479，而其他维度变化较小，且并非始终为正。</w:t>
      </w:r>
    </w:p>
    <w:p>
      <w:pPr>
        <w:spacing w:line="324" w:lineRule="auto" w:after="80"/>
        <w:ind w:firstLine="420"/>
        <w:jc w:val="both"/>
      </w:pPr>
      <w:r>
        <w:rPr>
          <w:rFonts w:ascii="Noto Serif CJK SC" w:hAnsi="Noto Serif CJK SC" w:eastAsia="Noto Serif CJK SC"/>
          <w:sz w:val="21"/>
        </w:rPr>
        <w:t>该比较支持本文提出的因果链。CRLU 建立跨分辨率表示，并在运动平滑度、美学与整体成像质量上提供主要增益。EAA 并不替代这种能力；它校准 CRLU 在切换时刻接收的输入，丰富可能在聚合自动指标中被低估的局部纹理与细结构。随后，剩余冻结高分辨率后缀执行原生生成式细化。</w:t>
      </w:r>
    </w:p>
    <w:tbl>
      <w:tblPr>
        <w:tblStyle w:val="TableGrid"/>
        <w:tblW w:type="auto" w:w="0"/>
        <w:jc w:val="center"/>
        <w:tblLayout w:type="autofit"/>
        <w:tblLook w:firstColumn="1" w:firstRow="1" w:lastColumn="0" w:lastRow="0" w:noHBand="0" w:noVBand="1" w:val="04A0"/>
      </w:tblPr>
      <w:tblGrid>
        <w:gridCol w:w="1176"/>
        <w:gridCol w:w="1176"/>
        <w:gridCol w:w="1176"/>
        <w:gridCol w:w="1176"/>
        <w:gridCol w:w="1176"/>
        <w:gridCol w:w="1176"/>
        <w:gridCol w:w="1176"/>
        <w:gridCol w:w="1176"/>
      </w:tblGrid>
      <w:tr>
        <w:trPr>
          <w:tblHeader w:val="true"/>
        </w:trPr>
        <w:tc>
          <w:tcPr>
            <w:tcW w:type="dxa" w:w="1176"/>
            <w:vAlign w:val="center"/>
            <w:shd w:fill="E7EEF8"/>
          </w:tcPr>
          <w:p>
            <w:pPr>
              <w:spacing w:after="0" w:before="0"/>
              <w:jc w:val="center"/>
            </w:pPr>
            <w:r/>
            <w:r>
              <w:rPr>
                <w:rFonts w:ascii="Noto Serif CJK SC" w:hAnsi="Noto Serif CJK SC" w:eastAsia="Noto Serif CJK SC"/>
                <w:b/>
                <w:sz w:val="15"/>
              </w:rPr>
              <w:t>采样器/切换</w:t>
            </w:r>
          </w:p>
        </w:tc>
        <w:tc>
          <w:tcPr>
            <w:tcW w:type="dxa" w:w="1176"/>
            <w:vAlign w:val="center"/>
            <w:shd w:fill="E7EEF8"/>
          </w:tcPr>
          <w:p>
            <w:pPr>
              <w:spacing w:after="0" w:before="0"/>
              <w:jc w:val="center"/>
            </w:pPr>
            <w:r/>
            <w:r>
              <w:rPr>
                <w:rFonts w:ascii="Noto Serif CJK SC" w:hAnsi="Noto Serif CJK SC" w:eastAsia="Noto Serif CJK SC"/>
                <w:b/>
                <w:sz w:val="15"/>
              </w:rPr>
              <w:t>边际效应</w:t>
            </w:r>
          </w:p>
        </w:tc>
        <w:tc>
          <w:tcPr>
            <w:tcW w:type="dxa" w:w="1176"/>
            <w:vAlign w:val="center"/>
            <w:shd w:fill="E7EEF8"/>
          </w:tcPr>
          <w:p>
            <w:pPr>
              <w:spacing w:after="0" w:before="0"/>
              <w:jc w:val="center"/>
            </w:pPr>
            <w:r/>
            <w:r>
              <w:rPr>
                <w:rFonts w:ascii="Noto Serif CJK SC" w:hAnsi="Noto Serif CJK SC" w:eastAsia="Noto Serif CJK SC"/>
                <w:b/>
                <w:sz w:val="15"/>
              </w:rPr>
              <w:t>主体</w:t>
            </w:r>
          </w:p>
        </w:tc>
        <w:tc>
          <w:tcPr>
            <w:tcW w:type="dxa" w:w="1176"/>
            <w:vAlign w:val="center"/>
            <w:shd w:fill="E7EEF8"/>
          </w:tcPr>
          <w:p>
            <w:pPr>
              <w:spacing w:after="0" w:before="0"/>
              <w:jc w:val="center"/>
            </w:pPr>
            <w:r/>
            <w:r>
              <w:rPr>
                <w:rFonts w:ascii="Noto Serif CJK SC" w:hAnsi="Noto Serif CJK SC" w:eastAsia="Noto Serif CJK SC"/>
                <w:b/>
                <w:sz w:val="15"/>
              </w:rPr>
              <w:t>背景</w:t>
            </w:r>
          </w:p>
        </w:tc>
        <w:tc>
          <w:tcPr>
            <w:tcW w:type="dxa" w:w="1176"/>
            <w:vAlign w:val="center"/>
            <w:shd w:fill="E7EEF8"/>
          </w:tcPr>
          <w:p>
            <w:pPr>
              <w:spacing w:after="0" w:before="0"/>
              <w:jc w:val="center"/>
            </w:pPr>
            <w:r/>
            <w:r>
              <w:rPr>
                <w:rFonts w:ascii="Noto Serif CJK SC" w:hAnsi="Noto Serif CJK SC" w:eastAsia="Noto Serif CJK SC"/>
                <w:b/>
                <w:sz w:val="15"/>
              </w:rPr>
              <w:t>运动</w:t>
            </w:r>
          </w:p>
        </w:tc>
        <w:tc>
          <w:tcPr>
            <w:tcW w:type="dxa" w:w="1176"/>
            <w:vAlign w:val="center"/>
            <w:shd w:fill="E7EEF8"/>
          </w:tcPr>
          <w:p>
            <w:pPr>
              <w:spacing w:after="0" w:before="0"/>
              <w:jc w:val="center"/>
            </w:pPr>
            <w:r/>
            <w:r>
              <w:rPr>
                <w:rFonts w:ascii="Noto Serif CJK SC" w:hAnsi="Noto Serif CJK SC" w:eastAsia="Noto Serif CJK SC"/>
                <w:b/>
                <w:sz w:val="15"/>
              </w:rPr>
              <w:t>动态</w:t>
            </w:r>
          </w:p>
        </w:tc>
        <w:tc>
          <w:tcPr>
            <w:tcW w:type="dxa" w:w="1176"/>
            <w:vAlign w:val="center"/>
            <w:shd w:fill="E7EEF8"/>
          </w:tcPr>
          <w:p>
            <w:pPr>
              <w:spacing w:after="0" w:before="0"/>
              <w:jc w:val="center"/>
            </w:pPr>
            <w:r/>
            <w:r>
              <w:rPr>
                <w:rFonts w:ascii="Noto Serif CJK SC" w:hAnsi="Noto Serif CJK SC" w:eastAsia="Noto Serif CJK SC"/>
                <w:b/>
                <w:sz w:val="15"/>
              </w:rPr>
              <w:t>美学</w:t>
            </w:r>
          </w:p>
        </w:tc>
        <w:tc>
          <w:tcPr>
            <w:tcW w:type="dxa" w:w="1176"/>
            <w:vAlign w:val="center"/>
            <w:shd w:fill="E7EEF8"/>
          </w:tcPr>
          <w:p>
            <w:pPr>
              <w:spacing w:after="0" w:before="0"/>
              <w:jc w:val="center"/>
            </w:pPr>
            <w:r/>
            <w:r>
              <w:rPr>
                <w:rFonts w:ascii="Noto Serif CJK SC" w:hAnsi="Noto Serif CJK SC" w:eastAsia="Noto Serif CJK SC"/>
                <w:b/>
                <w:sz w:val="15"/>
              </w:rPr>
              <w:t>成像</w:t>
            </w:r>
          </w:p>
        </w:tc>
      </w:tr>
      <w:tr>
        <w:tc>
          <w:tcPr>
            <w:tcW w:type="dxa" w:w="1176"/>
            <w:vAlign w:val="center"/>
          </w:tcPr>
          <w:p>
            <w:pPr>
              <w:spacing w:after="0" w:before="0"/>
              <w:jc w:val="center"/>
            </w:pPr>
            <w:r/>
            <w:r>
              <w:rPr>
                <w:rFonts w:ascii="Noto Serif CJK SC" w:hAnsi="Noto Serif CJK SC" w:eastAsia="Noto Serif CJK SC"/>
                <w:b w:val="0"/>
                <w:sz w:val="15"/>
              </w:rPr>
              <w:t>Wan50 / 第40步</w:t>
            </w:r>
          </w:p>
        </w:tc>
        <w:tc>
          <w:tcPr>
            <w:tcW w:type="dxa" w:w="1176"/>
            <w:vAlign w:val="center"/>
          </w:tcPr>
          <w:p>
            <w:pPr>
              <w:spacing w:after="0" w:before="0"/>
              <w:jc w:val="center"/>
            </w:pPr>
            <w:r/>
            <w:r>
              <w:rPr>
                <w:rFonts w:ascii="Noto Serif CJK SC" w:hAnsi="Noto Serif CJK SC" w:eastAsia="Noto Serif CJK SC"/>
                <w:b w:val="0"/>
                <w:sz w:val="15"/>
              </w:rPr>
              <w:t>CRLU</w:t>
            </w:r>
          </w:p>
        </w:tc>
        <w:tc>
          <w:tcPr>
            <w:tcW w:type="dxa" w:w="1176"/>
            <w:vAlign w:val="center"/>
          </w:tcPr>
          <w:p>
            <w:pPr>
              <w:spacing w:after="0" w:before="0"/>
              <w:jc w:val="center"/>
            </w:pPr>
            <w:r/>
            <w:r>
              <w:rPr>
                <w:rFonts w:ascii="Noto Serif CJK SC" w:hAnsi="Noto Serif CJK SC" w:eastAsia="Noto Serif CJK SC"/>
                <w:b w:val="0"/>
                <w:sz w:val="15"/>
              </w:rPr>
              <w:t>+.00403</w:t>
            </w:r>
          </w:p>
        </w:tc>
        <w:tc>
          <w:tcPr>
            <w:tcW w:type="dxa" w:w="1176"/>
            <w:vAlign w:val="center"/>
          </w:tcPr>
          <w:p>
            <w:pPr>
              <w:spacing w:after="0" w:before="0"/>
              <w:jc w:val="center"/>
            </w:pPr>
            <w:r/>
            <w:r>
              <w:rPr>
                <w:rFonts w:ascii="Noto Serif CJK SC" w:hAnsi="Noto Serif CJK SC" w:eastAsia="Noto Serif CJK SC"/>
                <w:b w:val="0"/>
                <w:sz w:val="15"/>
              </w:rPr>
              <w:t>-.00114</w:t>
            </w:r>
          </w:p>
        </w:tc>
        <w:tc>
          <w:tcPr>
            <w:tcW w:type="dxa" w:w="1176"/>
            <w:vAlign w:val="center"/>
          </w:tcPr>
          <w:p>
            <w:pPr>
              <w:spacing w:after="0" w:before="0"/>
              <w:jc w:val="center"/>
            </w:pPr>
            <w:r/>
            <w:r>
              <w:rPr>
                <w:rFonts w:ascii="Noto Serif CJK SC" w:hAnsi="Noto Serif CJK SC" w:eastAsia="Noto Serif CJK SC"/>
                <w:b w:val="0"/>
                <w:sz w:val="15"/>
              </w:rPr>
              <w:t>+.00418</w:t>
            </w:r>
          </w:p>
        </w:tc>
        <w:tc>
          <w:tcPr>
            <w:tcW w:type="dxa" w:w="1176"/>
            <w:vAlign w:val="center"/>
          </w:tcPr>
          <w:p>
            <w:pPr>
              <w:spacing w:after="0" w:before="0"/>
              <w:jc w:val="center"/>
            </w:pPr>
            <w:r/>
            <w:r>
              <w:rPr>
                <w:rFonts w:ascii="Noto Serif CJK SC" w:hAnsi="Noto Serif CJK SC" w:eastAsia="Noto Serif CJK SC"/>
                <w:b w:val="0"/>
                <w:sz w:val="15"/>
              </w:rPr>
              <w:t>+.10000</w:t>
            </w:r>
          </w:p>
        </w:tc>
        <w:tc>
          <w:tcPr>
            <w:tcW w:type="dxa" w:w="1176"/>
            <w:vAlign w:val="center"/>
          </w:tcPr>
          <w:p>
            <w:pPr>
              <w:spacing w:after="0" w:before="0"/>
              <w:jc w:val="center"/>
            </w:pPr>
            <w:r/>
            <w:r>
              <w:rPr>
                <w:rFonts w:ascii="Noto Serif CJK SC" w:hAnsi="Noto Serif CJK SC" w:eastAsia="Noto Serif CJK SC"/>
                <w:b w:val="0"/>
                <w:sz w:val="15"/>
              </w:rPr>
              <w:t>+.04595</w:t>
            </w:r>
          </w:p>
        </w:tc>
        <w:tc>
          <w:tcPr>
            <w:tcW w:type="dxa" w:w="1176"/>
            <w:vAlign w:val="center"/>
          </w:tcPr>
          <w:p>
            <w:pPr>
              <w:spacing w:after="0" w:before="0"/>
              <w:jc w:val="center"/>
            </w:pPr>
            <w:r/>
            <w:r>
              <w:rPr>
                <w:rFonts w:ascii="Noto Serif CJK SC" w:hAnsi="Noto Serif CJK SC" w:eastAsia="Noto Serif CJK SC"/>
                <w:b w:val="0"/>
                <w:sz w:val="15"/>
              </w:rPr>
              <w:t>+.10120</w:t>
            </w:r>
          </w:p>
        </w:tc>
      </w:tr>
      <w:tr>
        <w:tc>
          <w:tcPr>
            <w:tcW w:type="dxa" w:w="1176"/>
            <w:vAlign w:val="center"/>
          </w:tcPr>
          <w:p>
            <w:pPr>
              <w:spacing w:after="0" w:before="0"/>
              <w:jc w:val="center"/>
            </w:pPr>
            <w:r/>
            <w:r>
              <w:rPr>
                <w:rFonts w:ascii="Noto Serif CJK SC" w:hAnsi="Noto Serif CJK SC" w:eastAsia="Noto Serif CJK SC"/>
                <w:b w:val="0"/>
                <w:sz w:val="15"/>
              </w:rPr>
              <w:t>Wan50 / 第40步</w:t>
            </w:r>
          </w:p>
        </w:tc>
        <w:tc>
          <w:tcPr>
            <w:tcW w:type="dxa" w:w="1176"/>
            <w:vAlign w:val="center"/>
          </w:tcPr>
          <w:p>
            <w:pPr>
              <w:spacing w:after="0" w:before="0"/>
              <w:jc w:val="center"/>
            </w:pPr>
            <w:r/>
            <w:r>
              <w:rPr>
                <w:rFonts w:ascii="Noto Serif CJK SC" w:hAnsi="Noto Serif CJK SC" w:eastAsia="Noto Serif CJK SC"/>
                <w:b w:val="0"/>
                <w:sz w:val="15"/>
              </w:rPr>
              <w:t>EAA | CRLU</w:t>
            </w:r>
          </w:p>
        </w:tc>
        <w:tc>
          <w:tcPr>
            <w:tcW w:type="dxa" w:w="1176"/>
            <w:vAlign w:val="center"/>
          </w:tcPr>
          <w:p>
            <w:pPr>
              <w:spacing w:after="0" w:before="0"/>
              <w:jc w:val="center"/>
            </w:pPr>
            <w:r/>
            <w:r>
              <w:rPr>
                <w:rFonts w:ascii="Noto Serif CJK SC" w:hAnsi="Noto Serif CJK SC" w:eastAsia="Noto Serif CJK SC"/>
                <w:b w:val="0"/>
                <w:sz w:val="15"/>
              </w:rPr>
              <w:t>+.00131</w:t>
            </w:r>
          </w:p>
        </w:tc>
        <w:tc>
          <w:tcPr>
            <w:tcW w:type="dxa" w:w="1176"/>
            <w:vAlign w:val="center"/>
          </w:tcPr>
          <w:p>
            <w:pPr>
              <w:spacing w:after="0" w:before="0"/>
              <w:jc w:val="center"/>
            </w:pPr>
            <w:r/>
            <w:r>
              <w:rPr>
                <w:rFonts w:ascii="Noto Serif CJK SC" w:hAnsi="Noto Serif CJK SC" w:eastAsia="Noto Serif CJK SC"/>
                <w:b w:val="0"/>
                <w:sz w:val="15"/>
              </w:rPr>
              <w:t>+.00145</w:t>
            </w:r>
          </w:p>
        </w:tc>
        <w:tc>
          <w:tcPr>
            <w:tcW w:type="dxa" w:w="1176"/>
            <w:vAlign w:val="center"/>
          </w:tcPr>
          <w:p>
            <w:pPr>
              <w:spacing w:after="0" w:before="0"/>
              <w:jc w:val="center"/>
            </w:pPr>
            <w:r/>
            <w:r>
              <w:rPr>
                <w:rFonts w:ascii="Noto Serif CJK SC" w:hAnsi="Noto Serif CJK SC" w:eastAsia="Noto Serif CJK SC"/>
                <w:b w:val="0"/>
                <w:sz w:val="15"/>
              </w:rPr>
              <w:t>+.00015</w:t>
            </w:r>
          </w:p>
        </w:tc>
        <w:tc>
          <w:tcPr>
            <w:tcW w:type="dxa" w:w="1176"/>
            <w:vAlign w:val="center"/>
          </w:tcPr>
          <w:p>
            <w:pPr>
              <w:spacing w:after="0" w:before="0"/>
              <w:jc w:val="center"/>
            </w:pPr>
            <w:r/>
            <w:r>
              <w:rPr>
                <w:rFonts w:ascii="Noto Serif CJK SC" w:hAnsi="Noto Serif CJK SC" w:eastAsia="Noto Serif CJK SC"/>
                <w:b w:val="0"/>
                <w:sz w:val="15"/>
              </w:rPr>
              <w:t>.00000</w:t>
            </w:r>
          </w:p>
        </w:tc>
        <w:tc>
          <w:tcPr>
            <w:tcW w:type="dxa" w:w="1176"/>
            <w:vAlign w:val="center"/>
          </w:tcPr>
          <w:p>
            <w:pPr>
              <w:spacing w:after="0" w:before="0"/>
              <w:jc w:val="center"/>
            </w:pPr>
            <w:r/>
            <w:r>
              <w:rPr>
                <w:rFonts w:ascii="Noto Serif CJK SC" w:hAnsi="Noto Serif CJK SC" w:eastAsia="Noto Serif CJK SC"/>
                <w:b w:val="0"/>
                <w:sz w:val="15"/>
              </w:rPr>
              <w:t>-.00455</w:t>
            </w:r>
          </w:p>
        </w:tc>
        <w:tc>
          <w:tcPr>
            <w:tcW w:type="dxa" w:w="1176"/>
            <w:vAlign w:val="center"/>
          </w:tcPr>
          <w:p>
            <w:pPr>
              <w:spacing w:after="0" w:before="0"/>
              <w:jc w:val="center"/>
            </w:pPr>
            <w:r/>
            <w:r>
              <w:rPr>
                <w:rFonts w:ascii="Noto Serif CJK SC" w:hAnsi="Noto Serif CJK SC" w:eastAsia="Noto Serif CJK SC"/>
                <w:b w:val="0"/>
                <w:sz w:val="15"/>
              </w:rPr>
              <w:t>+.00599</w:t>
            </w:r>
          </w:p>
        </w:tc>
      </w:tr>
      <w:tr>
        <w:tc>
          <w:tcPr>
            <w:tcW w:type="dxa" w:w="1176"/>
            <w:vAlign w:val="center"/>
          </w:tcPr>
          <w:p>
            <w:pPr>
              <w:spacing w:after="0" w:before="0"/>
              <w:jc w:val="center"/>
            </w:pPr>
            <w:r/>
            <w:r>
              <w:rPr>
                <w:rFonts w:ascii="Noto Serif CJK SC" w:hAnsi="Noto Serif CJK SC" w:eastAsia="Noto Serif CJK SC"/>
                <w:b w:val="0"/>
                <w:sz w:val="15"/>
              </w:rPr>
              <w:t>Wan50 / 第45步</w:t>
            </w:r>
          </w:p>
        </w:tc>
        <w:tc>
          <w:tcPr>
            <w:tcW w:type="dxa" w:w="1176"/>
            <w:vAlign w:val="center"/>
          </w:tcPr>
          <w:p>
            <w:pPr>
              <w:spacing w:after="0" w:before="0"/>
              <w:jc w:val="center"/>
            </w:pPr>
            <w:r/>
            <w:r>
              <w:rPr>
                <w:rFonts w:ascii="Noto Serif CJK SC" w:hAnsi="Noto Serif CJK SC" w:eastAsia="Noto Serif CJK SC"/>
                <w:b w:val="0"/>
                <w:sz w:val="15"/>
              </w:rPr>
              <w:t>CRLU</w:t>
            </w:r>
          </w:p>
        </w:tc>
        <w:tc>
          <w:tcPr>
            <w:tcW w:type="dxa" w:w="1176"/>
            <w:vAlign w:val="center"/>
          </w:tcPr>
          <w:p>
            <w:pPr>
              <w:spacing w:after="0" w:before="0"/>
              <w:jc w:val="center"/>
            </w:pPr>
            <w:r/>
            <w:r>
              <w:rPr>
                <w:rFonts w:ascii="Noto Serif CJK SC" w:hAnsi="Noto Serif CJK SC" w:eastAsia="Noto Serif CJK SC"/>
                <w:b w:val="0"/>
                <w:sz w:val="15"/>
              </w:rPr>
              <w:t>+.00228</w:t>
            </w:r>
          </w:p>
        </w:tc>
        <w:tc>
          <w:tcPr>
            <w:tcW w:type="dxa" w:w="1176"/>
            <w:vAlign w:val="center"/>
          </w:tcPr>
          <w:p>
            <w:pPr>
              <w:spacing w:after="0" w:before="0"/>
              <w:jc w:val="center"/>
            </w:pPr>
            <w:r/>
            <w:r>
              <w:rPr>
                <w:rFonts w:ascii="Noto Serif CJK SC" w:hAnsi="Noto Serif CJK SC" w:eastAsia="Noto Serif CJK SC"/>
                <w:b w:val="0"/>
                <w:sz w:val="15"/>
              </w:rPr>
              <w:t>-.00160</w:t>
            </w:r>
          </w:p>
        </w:tc>
        <w:tc>
          <w:tcPr>
            <w:tcW w:type="dxa" w:w="1176"/>
            <w:vAlign w:val="center"/>
          </w:tcPr>
          <w:p>
            <w:pPr>
              <w:spacing w:after="0" w:before="0"/>
              <w:jc w:val="center"/>
            </w:pPr>
            <w:r/>
            <w:r>
              <w:rPr>
                <w:rFonts w:ascii="Noto Serif CJK SC" w:hAnsi="Noto Serif CJK SC" w:eastAsia="Noto Serif CJK SC"/>
                <w:b w:val="0"/>
                <w:sz w:val="15"/>
              </w:rPr>
              <w:t>+.00429</w:t>
            </w:r>
          </w:p>
        </w:tc>
        <w:tc>
          <w:tcPr>
            <w:tcW w:type="dxa" w:w="1176"/>
            <w:vAlign w:val="center"/>
          </w:tcPr>
          <w:p>
            <w:pPr>
              <w:spacing w:after="0" w:before="0"/>
              <w:jc w:val="center"/>
            </w:pPr>
            <w:r/>
            <w:r>
              <w:rPr>
                <w:rFonts w:ascii="Noto Serif CJK SC" w:hAnsi="Noto Serif CJK SC" w:eastAsia="Noto Serif CJK SC"/>
                <w:b w:val="0"/>
                <w:sz w:val="15"/>
              </w:rPr>
              <w:t>.00000</w:t>
            </w:r>
          </w:p>
        </w:tc>
        <w:tc>
          <w:tcPr>
            <w:tcW w:type="dxa" w:w="1176"/>
            <w:vAlign w:val="center"/>
          </w:tcPr>
          <w:p>
            <w:pPr>
              <w:spacing w:after="0" w:before="0"/>
              <w:jc w:val="center"/>
            </w:pPr>
            <w:r/>
            <w:r>
              <w:rPr>
                <w:rFonts w:ascii="Noto Serif CJK SC" w:hAnsi="Noto Serif CJK SC" w:eastAsia="Noto Serif CJK SC"/>
                <w:b w:val="0"/>
                <w:sz w:val="15"/>
              </w:rPr>
              <w:t>+.05743</w:t>
            </w:r>
          </w:p>
        </w:tc>
        <w:tc>
          <w:tcPr>
            <w:tcW w:type="dxa" w:w="1176"/>
            <w:vAlign w:val="center"/>
          </w:tcPr>
          <w:p>
            <w:pPr>
              <w:spacing w:after="0" w:before="0"/>
              <w:jc w:val="center"/>
            </w:pPr>
            <w:r/>
            <w:r>
              <w:rPr>
                <w:rFonts w:ascii="Noto Serif CJK SC" w:hAnsi="Noto Serif CJK SC" w:eastAsia="Noto Serif CJK SC"/>
                <w:b w:val="0"/>
                <w:sz w:val="15"/>
              </w:rPr>
              <w:t>+.14089</w:t>
            </w:r>
          </w:p>
        </w:tc>
      </w:tr>
      <w:tr>
        <w:tc>
          <w:tcPr>
            <w:tcW w:type="dxa" w:w="1176"/>
            <w:vAlign w:val="center"/>
          </w:tcPr>
          <w:p>
            <w:pPr>
              <w:spacing w:after="0" w:before="0"/>
              <w:jc w:val="center"/>
            </w:pPr>
            <w:r/>
            <w:r>
              <w:rPr>
                <w:rFonts w:ascii="Noto Serif CJK SC" w:hAnsi="Noto Serif CJK SC" w:eastAsia="Noto Serif CJK SC"/>
                <w:b w:val="0"/>
                <w:sz w:val="15"/>
              </w:rPr>
              <w:t>Wan50 / 第45步</w:t>
            </w:r>
          </w:p>
        </w:tc>
        <w:tc>
          <w:tcPr>
            <w:tcW w:type="dxa" w:w="1176"/>
            <w:vAlign w:val="center"/>
          </w:tcPr>
          <w:p>
            <w:pPr>
              <w:spacing w:after="0" w:before="0"/>
              <w:jc w:val="center"/>
            </w:pPr>
            <w:r/>
            <w:r>
              <w:rPr>
                <w:rFonts w:ascii="Noto Serif CJK SC" w:hAnsi="Noto Serif CJK SC" w:eastAsia="Noto Serif CJK SC"/>
                <w:b w:val="0"/>
                <w:sz w:val="15"/>
              </w:rPr>
              <w:t>EAA | CRLU</w:t>
            </w:r>
          </w:p>
        </w:tc>
        <w:tc>
          <w:tcPr>
            <w:tcW w:type="dxa" w:w="1176"/>
            <w:vAlign w:val="center"/>
          </w:tcPr>
          <w:p>
            <w:pPr>
              <w:spacing w:after="0" w:before="0"/>
              <w:jc w:val="center"/>
            </w:pPr>
            <w:r/>
            <w:r>
              <w:rPr>
                <w:rFonts w:ascii="Noto Serif CJK SC" w:hAnsi="Noto Serif CJK SC" w:eastAsia="Noto Serif CJK SC"/>
                <w:b w:val="0"/>
                <w:sz w:val="15"/>
              </w:rPr>
              <w:t>-.00132</w:t>
            </w:r>
          </w:p>
        </w:tc>
        <w:tc>
          <w:tcPr>
            <w:tcW w:type="dxa" w:w="1176"/>
            <w:vAlign w:val="center"/>
          </w:tcPr>
          <w:p>
            <w:pPr>
              <w:spacing w:after="0" w:before="0"/>
              <w:jc w:val="center"/>
            </w:pPr>
            <w:r/>
            <w:r>
              <w:rPr>
                <w:rFonts w:ascii="Noto Serif CJK SC" w:hAnsi="Noto Serif CJK SC" w:eastAsia="Noto Serif CJK SC"/>
                <w:b w:val="0"/>
                <w:sz w:val="15"/>
              </w:rPr>
              <w:t>+.00019</w:t>
            </w:r>
          </w:p>
        </w:tc>
        <w:tc>
          <w:tcPr>
            <w:tcW w:type="dxa" w:w="1176"/>
            <w:vAlign w:val="center"/>
          </w:tcPr>
          <w:p>
            <w:pPr>
              <w:spacing w:after="0" w:before="0"/>
              <w:jc w:val="center"/>
            </w:pPr>
            <w:r/>
            <w:r>
              <w:rPr>
                <w:rFonts w:ascii="Noto Serif CJK SC" w:hAnsi="Noto Serif CJK SC" w:eastAsia="Noto Serif CJK SC"/>
                <w:b w:val="0"/>
                <w:sz w:val="15"/>
              </w:rPr>
              <w:t>-.00004</w:t>
            </w:r>
          </w:p>
        </w:tc>
        <w:tc>
          <w:tcPr>
            <w:tcW w:type="dxa" w:w="1176"/>
            <w:vAlign w:val="center"/>
          </w:tcPr>
          <w:p>
            <w:pPr>
              <w:spacing w:after="0" w:before="0"/>
              <w:jc w:val="center"/>
            </w:pPr>
            <w:r/>
            <w:r>
              <w:rPr>
                <w:rFonts w:ascii="Noto Serif CJK SC" w:hAnsi="Noto Serif CJK SC" w:eastAsia="Noto Serif CJK SC"/>
                <w:b w:val="0"/>
                <w:sz w:val="15"/>
              </w:rPr>
              <w:t>.00000</w:t>
            </w:r>
          </w:p>
        </w:tc>
        <w:tc>
          <w:tcPr>
            <w:tcW w:type="dxa" w:w="1176"/>
            <w:vAlign w:val="center"/>
          </w:tcPr>
          <w:p>
            <w:pPr>
              <w:spacing w:after="0" w:before="0"/>
              <w:jc w:val="center"/>
            </w:pPr>
            <w:r/>
            <w:r>
              <w:rPr>
                <w:rFonts w:ascii="Noto Serif CJK SC" w:hAnsi="Noto Serif CJK SC" w:eastAsia="Noto Serif CJK SC"/>
                <w:b w:val="0"/>
                <w:sz w:val="15"/>
              </w:rPr>
              <w:t>-.00386</w:t>
            </w:r>
          </w:p>
        </w:tc>
        <w:tc>
          <w:tcPr>
            <w:tcW w:type="dxa" w:w="1176"/>
            <w:vAlign w:val="center"/>
          </w:tcPr>
          <w:p>
            <w:pPr>
              <w:spacing w:after="0" w:before="0"/>
              <w:jc w:val="center"/>
            </w:pPr>
            <w:r/>
            <w:r>
              <w:rPr>
                <w:rFonts w:ascii="Noto Serif CJK SC" w:hAnsi="Noto Serif CJK SC" w:eastAsia="Noto Serif CJK SC"/>
                <w:b w:val="0"/>
                <w:sz w:val="15"/>
              </w:rPr>
              <w:t>+.00254</w:t>
            </w:r>
          </w:p>
        </w:tc>
      </w:tr>
      <w:tr>
        <w:tc>
          <w:tcPr>
            <w:tcW w:type="dxa" w:w="1176"/>
            <w:vAlign w:val="center"/>
          </w:tcPr>
          <w:p>
            <w:pPr>
              <w:spacing w:after="0" w:before="0"/>
              <w:jc w:val="center"/>
            </w:pPr>
            <w:r/>
            <w:r>
              <w:rPr>
                <w:rFonts w:ascii="Noto Serif CJK SC" w:hAnsi="Noto Serif CJK SC" w:eastAsia="Noto Serif CJK SC"/>
                <w:b w:val="0"/>
                <w:sz w:val="15"/>
              </w:rPr>
              <w:t>Distill4 / 第3/4步</w:t>
            </w:r>
          </w:p>
        </w:tc>
        <w:tc>
          <w:tcPr>
            <w:tcW w:type="dxa" w:w="1176"/>
            <w:vAlign w:val="center"/>
          </w:tcPr>
          <w:p>
            <w:pPr>
              <w:spacing w:after="0" w:before="0"/>
              <w:jc w:val="center"/>
            </w:pPr>
            <w:r/>
            <w:r>
              <w:rPr>
                <w:rFonts w:ascii="Noto Serif CJK SC" w:hAnsi="Noto Serif CJK SC" w:eastAsia="Noto Serif CJK SC"/>
                <w:b w:val="0"/>
                <w:sz w:val="15"/>
              </w:rPr>
              <w:t>CRLU</w:t>
            </w:r>
          </w:p>
        </w:tc>
        <w:tc>
          <w:tcPr>
            <w:tcW w:type="dxa" w:w="1176"/>
            <w:vAlign w:val="center"/>
          </w:tcPr>
          <w:p>
            <w:pPr>
              <w:spacing w:after="0" w:before="0"/>
              <w:jc w:val="center"/>
            </w:pPr>
            <w:r/>
            <w:r>
              <w:rPr>
                <w:rFonts w:ascii="Noto Serif CJK SC" w:hAnsi="Noto Serif CJK SC" w:eastAsia="Noto Serif CJK SC"/>
                <w:b w:val="0"/>
                <w:sz w:val="15"/>
              </w:rPr>
              <w:t>+.00344</w:t>
            </w:r>
          </w:p>
        </w:tc>
        <w:tc>
          <w:tcPr>
            <w:tcW w:type="dxa" w:w="1176"/>
            <w:vAlign w:val="center"/>
          </w:tcPr>
          <w:p>
            <w:pPr>
              <w:spacing w:after="0" w:before="0"/>
              <w:jc w:val="center"/>
            </w:pPr>
            <w:r/>
            <w:r>
              <w:rPr>
                <w:rFonts w:ascii="Noto Serif CJK SC" w:hAnsi="Noto Serif CJK SC" w:eastAsia="Noto Serif CJK SC"/>
                <w:b w:val="0"/>
                <w:sz w:val="15"/>
              </w:rPr>
              <w:t>+.00275</w:t>
            </w:r>
          </w:p>
        </w:tc>
        <w:tc>
          <w:tcPr>
            <w:tcW w:type="dxa" w:w="1176"/>
            <w:vAlign w:val="center"/>
          </w:tcPr>
          <w:p>
            <w:pPr>
              <w:spacing w:after="0" w:before="0"/>
              <w:jc w:val="center"/>
            </w:pPr>
            <w:r/>
            <w:r>
              <w:rPr>
                <w:rFonts w:ascii="Noto Serif CJK SC" w:hAnsi="Noto Serif CJK SC" w:eastAsia="Noto Serif CJK SC"/>
                <w:b w:val="0"/>
                <w:sz w:val="15"/>
              </w:rPr>
              <w:t>+.00453</w:t>
            </w:r>
          </w:p>
        </w:tc>
        <w:tc>
          <w:tcPr>
            <w:tcW w:type="dxa" w:w="1176"/>
            <w:vAlign w:val="center"/>
          </w:tcPr>
          <w:p>
            <w:pPr>
              <w:spacing w:after="0" w:before="0"/>
              <w:jc w:val="center"/>
            </w:pPr>
            <w:r/>
            <w:r>
              <w:rPr>
                <w:rFonts w:ascii="Noto Serif CJK SC" w:hAnsi="Noto Serif CJK SC" w:eastAsia="Noto Serif CJK SC"/>
                <w:b w:val="0"/>
                <w:sz w:val="15"/>
              </w:rPr>
              <w:t>.00000</w:t>
            </w:r>
          </w:p>
        </w:tc>
        <w:tc>
          <w:tcPr>
            <w:tcW w:type="dxa" w:w="1176"/>
            <w:vAlign w:val="center"/>
          </w:tcPr>
          <w:p>
            <w:pPr>
              <w:spacing w:after="0" w:before="0"/>
              <w:jc w:val="center"/>
            </w:pPr>
            <w:r/>
            <w:r>
              <w:rPr>
                <w:rFonts w:ascii="Noto Serif CJK SC" w:hAnsi="Noto Serif CJK SC" w:eastAsia="Noto Serif CJK SC"/>
                <w:b w:val="0"/>
                <w:sz w:val="15"/>
              </w:rPr>
              <w:t>+.06140</w:t>
            </w:r>
          </w:p>
        </w:tc>
        <w:tc>
          <w:tcPr>
            <w:tcW w:type="dxa" w:w="1176"/>
            <w:vAlign w:val="center"/>
          </w:tcPr>
          <w:p>
            <w:pPr>
              <w:spacing w:after="0" w:before="0"/>
              <w:jc w:val="center"/>
            </w:pPr>
            <w:r/>
            <w:r>
              <w:rPr>
                <w:rFonts w:ascii="Noto Serif CJK SC" w:hAnsi="Noto Serif CJK SC" w:eastAsia="Noto Serif CJK SC"/>
                <w:b w:val="0"/>
                <w:sz w:val="15"/>
              </w:rPr>
              <w:t>+.12156</w:t>
            </w:r>
          </w:p>
        </w:tc>
      </w:tr>
      <w:tr>
        <w:tc>
          <w:tcPr>
            <w:tcW w:type="dxa" w:w="1176"/>
            <w:vAlign w:val="center"/>
          </w:tcPr>
          <w:p>
            <w:pPr>
              <w:spacing w:after="0" w:before="0"/>
              <w:jc w:val="center"/>
            </w:pPr>
            <w:r/>
            <w:r>
              <w:rPr>
                <w:rFonts w:ascii="Noto Serif CJK SC" w:hAnsi="Noto Serif CJK SC" w:eastAsia="Noto Serif CJK SC"/>
                <w:b w:val="0"/>
                <w:sz w:val="15"/>
              </w:rPr>
              <w:t>Distill4 / 第3/4步</w:t>
            </w:r>
          </w:p>
        </w:tc>
        <w:tc>
          <w:tcPr>
            <w:tcW w:type="dxa" w:w="1176"/>
            <w:vAlign w:val="center"/>
          </w:tcPr>
          <w:p>
            <w:pPr>
              <w:spacing w:after="0" w:before="0"/>
              <w:jc w:val="center"/>
            </w:pPr>
            <w:r/>
            <w:r>
              <w:rPr>
                <w:rFonts w:ascii="Noto Serif CJK SC" w:hAnsi="Noto Serif CJK SC" w:eastAsia="Noto Serif CJK SC"/>
                <w:b w:val="0"/>
                <w:sz w:val="15"/>
              </w:rPr>
              <w:t>EAA | CRLU</w:t>
            </w:r>
          </w:p>
        </w:tc>
        <w:tc>
          <w:tcPr>
            <w:tcW w:type="dxa" w:w="1176"/>
            <w:vAlign w:val="center"/>
          </w:tcPr>
          <w:p>
            <w:pPr>
              <w:spacing w:after="0" w:before="0"/>
              <w:jc w:val="center"/>
            </w:pPr>
            <w:r/>
            <w:r>
              <w:rPr>
                <w:rFonts w:ascii="Noto Serif CJK SC" w:hAnsi="Noto Serif CJK SC" w:eastAsia="Noto Serif CJK SC"/>
                <w:b w:val="0"/>
                <w:sz w:val="15"/>
              </w:rPr>
              <w:t>-.00050</w:t>
            </w:r>
          </w:p>
        </w:tc>
        <w:tc>
          <w:tcPr>
            <w:tcW w:type="dxa" w:w="1176"/>
            <w:vAlign w:val="center"/>
          </w:tcPr>
          <w:p>
            <w:pPr>
              <w:spacing w:after="0" w:before="0"/>
              <w:jc w:val="center"/>
            </w:pPr>
            <w:r/>
            <w:r>
              <w:rPr>
                <w:rFonts w:ascii="Noto Serif CJK SC" w:hAnsi="Noto Serif CJK SC" w:eastAsia="Noto Serif CJK SC"/>
                <w:b w:val="0"/>
                <w:sz w:val="15"/>
              </w:rPr>
              <w:t>-.00186</w:t>
            </w:r>
          </w:p>
        </w:tc>
        <w:tc>
          <w:tcPr>
            <w:tcW w:type="dxa" w:w="1176"/>
            <w:vAlign w:val="center"/>
          </w:tcPr>
          <w:p>
            <w:pPr>
              <w:spacing w:after="0" w:before="0"/>
              <w:jc w:val="center"/>
            </w:pPr>
            <w:r/>
            <w:r>
              <w:rPr>
                <w:rFonts w:ascii="Noto Serif CJK SC" w:hAnsi="Noto Serif CJK SC" w:eastAsia="Noto Serif CJK SC"/>
                <w:b w:val="0"/>
                <w:sz w:val="15"/>
              </w:rPr>
              <w:t>-.00014</w:t>
            </w:r>
          </w:p>
        </w:tc>
        <w:tc>
          <w:tcPr>
            <w:tcW w:type="dxa" w:w="1176"/>
            <w:vAlign w:val="center"/>
          </w:tcPr>
          <w:p>
            <w:pPr>
              <w:spacing w:after="0" w:before="0"/>
              <w:jc w:val="center"/>
            </w:pPr>
            <w:r/>
            <w:r>
              <w:rPr>
                <w:rFonts w:ascii="Noto Serif CJK SC" w:hAnsi="Noto Serif CJK SC" w:eastAsia="Noto Serif CJK SC"/>
                <w:b w:val="0"/>
                <w:sz w:val="15"/>
              </w:rPr>
              <w:t>.00000</w:t>
            </w:r>
          </w:p>
        </w:tc>
        <w:tc>
          <w:tcPr>
            <w:tcW w:type="dxa" w:w="1176"/>
            <w:vAlign w:val="center"/>
          </w:tcPr>
          <w:p>
            <w:pPr>
              <w:spacing w:after="0" w:before="0"/>
              <w:jc w:val="center"/>
            </w:pPr>
            <w:r/>
            <w:r>
              <w:rPr>
                <w:rFonts w:ascii="Noto Serif CJK SC" w:hAnsi="Noto Serif CJK SC" w:eastAsia="Noto Serif CJK SC"/>
                <w:b w:val="0"/>
                <w:sz w:val="15"/>
              </w:rPr>
              <w:t>-.00180</w:t>
            </w:r>
          </w:p>
        </w:tc>
        <w:tc>
          <w:tcPr>
            <w:tcW w:type="dxa" w:w="1176"/>
            <w:vAlign w:val="center"/>
          </w:tcPr>
          <w:p>
            <w:pPr>
              <w:spacing w:after="0" w:before="0"/>
              <w:jc w:val="center"/>
            </w:pPr>
            <w:r/>
            <w:r>
              <w:rPr>
                <w:rFonts w:ascii="Noto Serif CJK SC" w:hAnsi="Noto Serif CJK SC" w:eastAsia="Noto Serif CJK SC"/>
                <w:b w:val="0"/>
                <w:sz w:val="15"/>
              </w:rPr>
              <w:t>+.00479</w:t>
            </w:r>
          </w:p>
        </w:tc>
      </w:tr>
    </w:tbl>
    <w:p>
      <w:pPr>
        <w:spacing w:after="0"/>
      </w:pPr>
    </w:p>
    <w:p>
      <w:pPr>
        <w:spacing w:before="40" w:after="160"/>
        <w:jc w:val="center"/>
      </w:pPr>
      <w:r>
        <w:rPr>
          <w:rFonts w:ascii="Noto Serif CJK SC" w:hAnsi="Noto Serif CJK SC" w:eastAsia="Noto Serif CJK SC"/>
          <w:sz w:val="18"/>
        </w:rPr>
        <w:t>表 3：端到端析因实验中各 VBench 维度的边际效应（n = 10）。“CRLU”表示 CRLU-only 减去 Trilinear；“EAA | CRLU”表示 TrajScale 减去 CRLU-only。动态程度仅作报告，不假设数值越大质量越高。</w:t>
      </w:r>
    </w:p>
    <w:p>
      <w:pPr>
        <w:pStyle w:val="Heading2"/>
      </w:pPr>
      <w:r>
        <w:t>5.3 感知效果与蒸馏采样器兼容性</w:t>
      </w:r>
    </w:p>
    <w:p>
      <w:pPr>
        <w:spacing w:line="324" w:lineRule="auto" w:after="80"/>
        <w:ind w:firstLine="420"/>
        <w:jc w:val="both"/>
      </w:pPr>
      <w:r>
        <w:rPr>
          <w:rFonts w:ascii="Noto Serif CJK SC" w:hAnsi="Noto Serif CJK SC" w:eastAsia="Noto Serif CJK SC"/>
          <w:sz w:val="21"/>
        </w:rPr>
        <w:t>人工评价证实，在相同 CRLU 算子之上，EAA 的切换特异性修正具有可感知效果。在第 40 步和第 45 步，EAA 的细节胜/负/平票数分别为 8/2/0 和 9/0/1；总体质量判断也为正，分别达到 6/2/2 和 6/0/4。这些偏好与分维度 VBench 结果一致，说明终点对齐会选择性改善成像质量与局部结构。</w:t>
      </w:r>
    </w:p>
    <w:p>
      <w:pPr>
        <w:spacing w:line="324" w:lineRule="auto" w:after="80"/>
        <w:ind w:firstLine="420"/>
        <w:jc w:val="both"/>
      </w:pPr>
      <w:r>
        <w:rPr>
          <w:rFonts w:ascii="Noto Serif CJK SC" w:hAnsi="Noto Serif CJK SC" w:eastAsia="Noto Serif CJK SC"/>
          <w:sz w:val="21"/>
        </w:rPr>
        <w:t>额外的细尺度内容带来空间—时间权衡：在两个设置中，时间稳定性都更偏好未对齐的 CRLU 状态。这与 EAA 作为部署适配器而非普遍有益的去噪模块相吻合：它将运行点推向更锐利的局部渲染，而更广泛的空间与时间重建则由 CRLU 和剩余高分辨率后缀负责。</w:t>
      </w:r>
    </w:p>
    <w:p>
      <w:pPr>
        <w:spacing w:line="324" w:lineRule="auto" w:after="80"/>
        <w:ind w:firstLine="420"/>
        <w:jc w:val="both"/>
      </w:pPr>
      <w:r>
        <w:rPr>
          <w:rFonts w:ascii="Noto Serif CJK SC" w:hAnsi="Noto Serif CJK SC" w:eastAsia="Noto Serif CJK SC"/>
          <w:sz w:val="21"/>
        </w:rPr>
        <w:t>CRLU 提供更广泛的感知改进。在第 45 步，CRLU-only 和 TrajScale-E 相对三线性交接，在细节和总体质量上均获得 10/10 个提示词级胜利，同时也改善了时间稳定性。EAA 在这一可学习跨分辨率重建之上，进一步增加较窄的局部细节修正。</w:t>
      </w:r>
    </w:p>
    <w:tbl>
      <w:tblPr>
        <w:tblStyle w:val="TableGrid"/>
        <w:tblW w:type="auto" w:w="0"/>
        <w:jc w:val="center"/>
        <w:tblLayout w:type="autofit"/>
        <w:tblLook w:firstColumn="1" w:firstRow="1" w:lastColumn="0" w:lastRow="0" w:noHBand="0" w:noVBand="1" w:val="04A0"/>
      </w:tblPr>
      <w:tblGrid>
        <w:gridCol w:w="2353"/>
        <w:gridCol w:w="2353"/>
        <w:gridCol w:w="2353"/>
        <w:gridCol w:w="2353"/>
      </w:tblGrid>
      <w:tr>
        <w:trPr>
          <w:tblHeader w:val="true"/>
        </w:trPr>
        <w:tc>
          <w:tcPr>
            <w:tcW w:type="dxa" w:w="2353"/>
            <w:vAlign w:val="center"/>
            <w:shd w:fill="E7EEF8"/>
          </w:tcPr>
          <w:p>
            <w:pPr>
              <w:spacing w:after="0" w:before="0"/>
              <w:jc w:val="center"/>
            </w:pPr>
            <w:r/>
            <w:r>
              <w:rPr>
                <w:rFonts w:ascii="Noto Serif CJK SC" w:hAnsi="Noto Serif CJK SC" w:eastAsia="Noto Serif CJK SC"/>
                <w:b/>
                <w:sz w:val="16"/>
              </w:rPr>
              <w:t>比较</w:t>
            </w:r>
          </w:p>
        </w:tc>
        <w:tc>
          <w:tcPr>
            <w:tcW w:type="dxa" w:w="2353"/>
            <w:vAlign w:val="center"/>
            <w:shd w:fill="E7EEF8"/>
          </w:tcPr>
          <w:p>
            <w:pPr>
              <w:spacing w:after="0" w:before="0"/>
              <w:jc w:val="center"/>
            </w:pPr>
            <w:r/>
            <w:r>
              <w:rPr>
                <w:rFonts w:ascii="Noto Serif CJK SC" w:hAnsi="Noto Serif CJK SC" w:eastAsia="Noto Serif CJK SC"/>
                <w:b/>
                <w:sz w:val="16"/>
              </w:rPr>
              <w:t>细节 W/L/T</w:t>
            </w:r>
          </w:p>
        </w:tc>
        <w:tc>
          <w:tcPr>
            <w:tcW w:type="dxa" w:w="2353"/>
            <w:vAlign w:val="center"/>
            <w:shd w:fill="E7EEF8"/>
          </w:tcPr>
          <w:p>
            <w:pPr>
              <w:spacing w:after="0" w:before="0"/>
              <w:jc w:val="center"/>
            </w:pPr>
            <w:r/>
            <w:r>
              <w:rPr>
                <w:rFonts w:ascii="Noto Serif CJK SC" w:hAnsi="Noto Serif CJK SC" w:eastAsia="Noto Serif CJK SC"/>
                <w:b/>
                <w:sz w:val="16"/>
              </w:rPr>
              <w:t>总体 W/L/T</w:t>
            </w:r>
          </w:p>
        </w:tc>
        <w:tc>
          <w:tcPr>
            <w:tcW w:type="dxa" w:w="2353"/>
            <w:vAlign w:val="center"/>
            <w:shd w:fill="E7EEF8"/>
          </w:tcPr>
          <w:p>
            <w:pPr>
              <w:spacing w:after="0" w:before="0"/>
              <w:jc w:val="center"/>
            </w:pPr>
            <w:r/>
            <w:r>
              <w:rPr>
                <w:rFonts w:ascii="Noto Serif CJK SC" w:hAnsi="Noto Serif CJK SC" w:eastAsia="Noto Serif CJK SC"/>
                <w:b/>
                <w:sz w:val="16"/>
              </w:rPr>
              <w:t>时间 W/L/T</w:t>
            </w:r>
          </w:p>
        </w:tc>
      </w:tr>
      <w:tr>
        <w:tc>
          <w:tcPr>
            <w:tcW w:type="dxa" w:w="2353"/>
            <w:vAlign w:val="center"/>
          </w:tcPr>
          <w:p>
            <w:pPr>
              <w:spacing w:after="0" w:before="0"/>
              <w:jc w:val="center"/>
            </w:pPr>
            <w:r/>
            <w:r>
              <w:rPr>
                <w:rFonts w:ascii="Noto Serif CJK SC" w:hAnsi="Noto Serif CJK SC" w:eastAsia="Noto Serif CJK SC"/>
                <w:b w:val="0"/>
                <w:sz w:val="16"/>
              </w:rPr>
              <w:t>EAA vs. 未对齐，CRLU（S40）</w:t>
            </w:r>
          </w:p>
        </w:tc>
        <w:tc>
          <w:tcPr>
            <w:tcW w:type="dxa" w:w="2353"/>
            <w:vAlign w:val="center"/>
          </w:tcPr>
          <w:p>
            <w:pPr>
              <w:spacing w:after="0" w:before="0"/>
              <w:jc w:val="center"/>
            </w:pPr>
            <w:r/>
            <w:r>
              <w:rPr>
                <w:rFonts w:ascii="Noto Serif CJK SC" w:hAnsi="Noto Serif CJK SC" w:eastAsia="Noto Serif CJK SC"/>
                <w:b w:val="0"/>
                <w:sz w:val="16"/>
              </w:rPr>
              <w:t>8/2/0</w:t>
            </w:r>
          </w:p>
        </w:tc>
        <w:tc>
          <w:tcPr>
            <w:tcW w:type="dxa" w:w="2353"/>
            <w:vAlign w:val="center"/>
          </w:tcPr>
          <w:p>
            <w:pPr>
              <w:spacing w:after="0" w:before="0"/>
              <w:jc w:val="center"/>
            </w:pPr>
            <w:r/>
            <w:r>
              <w:rPr>
                <w:rFonts w:ascii="Noto Serif CJK SC" w:hAnsi="Noto Serif CJK SC" w:eastAsia="Noto Serif CJK SC"/>
                <w:b w:val="0"/>
                <w:sz w:val="16"/>
              </w:rPr>
              <w:t>6/2/2</w:t>
            </w:r>
          </w:p>
        </w:tc>
        <w:tc>
          <w:tcPr>
            <w:tcW w:type="dxa" w:w="2353"/>
            <w:vAlign w:val="center"/>
          </w:tcPr>
          <w:p>
            <w:pPr>
              <w:spacing w:after="0" w:before="0"/>
              <w:jc w:val="center"/>
            </w:pPr>
            <w:r/>
            <w:r>
              <w:rPr>
                <w:rFonts w:ascii="Noto Serif CJK SC" w:hAnsi="Noto Serif CJK SC" w:eastAsia="Noto Serif CJK SC"/>
                <w:b w:val="0"/>
                <w:sz w:val="16"/>
              </w:rPr>
              <w:t>1/9/0</w:t>
            </w:r>
          </w:p>
        </w:tc>
      </w:tr>
      <w:tr>
        <w:tc>
          <w:tcPr>
            <w:tcW w:type="dxa" w:w="2353"/>
            <w:vAlign w:val="center"/>
          </w:tcPr>
          <w:p>
            <w:pPr>
              <w:spacing w:after="0" w:before="0"/>
              <w:jc w:val="center"/>
            </w:pPr>
            <w:r/>
            <w:r>
              <w:rPr>
                <w:rFonts w:ascii="Noto Serif CJK SC" w:hAnsi="Noto Serif CJK SC" w:eastAsia="Noto Serif CJK SC"/>
                <w:b w:val="0"/>
                <w:sz w:val="16"/>
              </w:rPr>
              <w:t>EAA vs. 未对齐，CRLU（S45）</w:t>
            </w:r>
          </w:p>
        </w:tc>
        <w:tc>
          <w:tcPr>
            <w:tcW w:type="dxa" w:w="2353"/>
            <w:vAlign w:val="center"/>
          </w:tcPr>
          <w:p>
            <w:pPr>
              <w:spacing w:after="0" w:before="0"/>
              <w:jc w:val="center"/>
            </w:pPr>
            <w:r/>
            <w:r>
              <w:rPr>
                <w:rFonts w:ascii="Noto Serif CJK SC" w:hAnsi="Noto Serif CJK SC" w:eastAsia="Noto Serif CJK SC"/>
                <w:b w:val="0"/>
                <w:sz w:val="16"/>
              </w:rPr>
              <w:t>9/0/1</w:t>
            </w:r>
          </w:p>
        </w:tc>
        <w:tc>
          <w:tcPr>
            <w:tcW w:type="dxa" w:w="2353"/>
            <w:vAlign w:val="center"/>
          </w:tcPr>
          <w:p>
            <w:pPr>
              <w:spacing w:after="0" w:before="0"/>
              <w:jc w:val="center"/>
            </w:pPr>
            <w:r/>
            <w:r>
              <w:rPr>
                <w:rFonts w:ascii="Noto Serif CJK SC" w:hAnsi="Noto Serif CJK SC" w:eastAsia="Noto Serif CJK SC"/>
                <w:b w:val="0"/>
                <w:sz w:val="16"/>
              </w:rPr>
              <w:t>6/0/4</w:t>
            </w:r>
          </w:p>
        </w:tc>
        <w:tc>
          <w:tcPr>
            <w:tcW w:type="dxa" w:w="2353"/>
            <w:vAlign w:val="center"/>
          </w:tcPr>
          <w:p>
            <w:pPr>
              <w:spacing w:after="0" w:before="0"/>
              <w:jc w:val="center"/>
            </w:pPr>
            <w:r/>
            <w:r>
              <w:rPr>
                <w:rFonts w:ascii="Noto Serif CJK SC" w:hAnsi="Noto Serif CJK SC" w:eastAsia="Noto Serif CJK SC"/>
                <w:b w:val="0"/>
                <w:sz w:val="16"/>
              </w:rPr>
              <w:t>0/8/2</w:t>
            </w:r>
          </w:p>
        </w:tc>
      </w:tr>
      <w:tr>
        <w:tc>
          <w:tcPr>
            <w:tcW w:type="dxa" w:w="2353"/>
            <w:vAlign w:val="center"/>
          </w:tcPr>
          <w:p>
            <w:pPr>
              <w:spacing w:after="0" w:before="0"/>
              <w:jc w:val="center"/>
            </w:pPr>
            <w:r/>
            <w:r>
              <w:rPr>
                <w:rFonts w:ascii="Noto Serif CJK SC" w:hAnsi="Noto Serif CJK SC" w:eastAsia="Noto Serif CJK SC"/>
                <w:b w:val="0"/>
                <w:sz w:val="16"/>
              </w:rPr>
              <w:t>CRLU-only vs. 三线性（S45）</w:t>
            </w:r>
          </w:p>
        </w:tc>
        <w:tc>
          <w:tcPr>
            <w:tcW w:type="dxa" w:w="2353"/>
            <w:vAlign w:val="center"/>
          </w:tcPr>
          <w:p>
            <w:pPr>
              <w:spacing w:after="0" w:before="0"/>
              <w:jc w:val="center"/>
            </w:pPr>
            <w:r/>
            <w:r>
              <w:rPr>
                <w:rFonts w:ascii="Noto Serif CJK SC" w:hAnsi="Noto Serif CJK SC" w:eastAsia="Noto Serif CJK SC"/>
                <w:b w:val="0"/>
                <w:sz w:val="16"/>
              </w:rPr>
              <w:t>10/0/0</w:t>
            </w:r>
          </w:p>
        </w:tc>
        <w:tc>
          <w:tcPr>
            <w:tcW w:type="dxa" w:w="2353"/>
            <w:vAlign w:val="center"/>
          </w:tcPr>
          <w:p>
            <w:pPr>
              <w:spacing w:after="0" w:before="0"/>
              <w:jc w:val="center"/>
            </w:pPr>
            <w:r/>
            <w:r>
              <w:rPr>
                <w:rFonts w:ascii="Noto Serif CJK SC" w:hAnsi="Noto Serif CJK SC" w:eastAsia="Noto Serif CJK SC"/>
                <w:b w:val="0"/>
                <w:sz w:val="16"/>
              </w:rPr>
              <w:t>10/0/0</w:t>
            </w:r>
          </w:p>
        </w:tc>
        <w:tc>
          <w:tcPr>
            <w:tcW w:type="dxa" w:w="2353"/>
            <w:vAlign w:val="center"/>
          </w:tcPr>
          <w:p>
            <w:pPr>
              <w:spacing w:after="0" w:before="0"/>
              <w:jc w:val="center"/>
            </w:pPr>
            <w:r/>
            <w:r>
              <w:rPr>
                <w:rFonts w:ascii="Noto Serif CJK SC" w:hAnsi="Noto Serif CJK SC" w:eastAsia="Noto Serif CJK SC"/>
                <w:b w:val="0"/>
                <w:sz w:val="16"/>
              </w:rPr>
              <w:t>8/0/2</w:t>
            </w:r>
          </w:p>
        </w:tc>
      </w:tr>
      <w:tr>
        <w:tc>
          <w:tcPr>
            <w:tcW w:type="dxa" w:w="2353"/>
            <w:vAlign w:val="center"/>
          </w:tcPr>
          <w:p>
            <w:pPr>
              <w:spacing w:after="0" w:before="0"/>
              <w:jc w:val="center"/>
            </w:pPr>
            <w:r/>
            <w:r>
              <w:rPr>
                <w:rFonts w:ascii="Noto Serif CJK SC" w:hAnsi="Noto Serif CJK SC" w:eastAsia="Noto Serif CJK SC"/>
                <w:b w:val="0"/>
                <w:sz w:val="16"/>
              </w:rPr>
              <w:t>TrajScale-E vs. 三线性（S45）</w:t>
            </w:r>
          </w:p>
        </w:tc>
        <w:tc>
          <w:tcPr>
            <w:tcW w:type="dxa" w:w="2353"/>
            <w:vAlign w:val="center"/>
          </w:tcPr>
          <w:p>
            <w:pPr>
              <w:spacing w:after="0" w:before="0"/>
              <w:jc w:val="center"/>
            </w:pPr>
            <w:r/>
            <w:r>
              <w:rPr>
                <w:rFonts w:ascii="Noto Serif CJK SC" w:hAnsi="Noto Serif CJK SC" w:eastAsia="Noto Serif CJK SC"/>
                <w:b w:val="0"/>
                <w:sz w:val="16"/>
              </w:rPr>
              <w:t>10/0/0</w:t>
            </w:r>
          </w:p>
        </w:tc>
        <w:tc>
          <w:tcPr>
            <w:tcW w:type="dxa" w:w="2353"/>
            <w:vAlign w:val="center"/>
          </w:tcPr>
          <w:p>
            <w:pPr>
              <w:spacing w:after="0" w:before="0"/>
              <w:jc w:val="center"/>
            </w:pPr>
            <w:r/>
            <w:r>
              <w:rPr>
                <w:rFonts w:ascii="Noto Serif CJK SC" w:hAnsi="Noto Serif CJK SC" w:eastAsia="Noto Serif CJK SC"/>
                <w:b w:val="0"/>
                <w:sz w:val="16"/>
              </w:rPr>
              <w:t>10/0/0</w:t>
            </w:r>
          </w:p>
        </w:tc>
        <w:tc>
          <w:tcPr>
            <w:tcW w:type="dxa" w:w="2353"/>
            <w:vAlign w:val="center"/>
          </w:tcPr>
          <w:p>
            <w:pPr>
              <w:spacing w:after="0" w:before="0"/>
              <w:jc w:val="center"/>
            </w:pPr>
            <w:r/>
            <w:r>
              <w:rPr>
                <w:rFonts w:ascii="Noto Serif CJK SC" w:hAnsi="Noto Serif CJK SC" w:eastAsia="Noto Serif CJK SC"/>
                <w:b w:val="0"/>
                <w:sz w:val="16"/>
              </w:rPr>
              <w:t>9/0/1</w:t>
            </w:r>
          </w:p>
        </w:tc>
      </w:tr>
    </w:tbl>
    <w:p>
      <w:pPr>
        <w:spacing w:after="0"/>
      </w:pPr>
    </w:p>
    <w:p>
      <w:pPr>
        <w:spacing w:before="40" w:after="160"/>
        <w:jc w:val="center"/>
      </w:pPr>
      <w:r>
        <w:rPr>
          <w:rFonts w:ascii="Noto Serif CJK SC" w:hAnsi="Noto Serif CJK SC" w:eastAsia="Noto Serif CJK SC"/>
          <w:sz w:val="18"/>
        </w:rPr>
        <w:t>表 4：10 个提示词上的提示词级多数票（胜/负/平），每个提示词由三位评审者评价。原文加粗项的精确符号检验 p &lt; 0.05。</w:t>
      </w:r>
    </w:p>
    <w:p>
      <w:pPr>
        <w:spacing w:line="324" w:lineRule="auto" w:after="80"/>
        <w:ind w:firstLine="420"/>
        <w:jc w:val="both"/>
      </w:pPr>
      <w:r>
        <w:rPr>
          <w:rFonts w:ascii="Noto Serif CJK SC" w:hAnsi="Noto Serif CJK SC" w:eastAsia="Noto Serif CJK SC"/>
          <w:sz w:val="21"/>
        </w:rPr>
        <w:t>TrajScale 同样兼容 4 步蒸馏 Wan 采样器。在 368p 轨迹上，TrajScale-D4 相比 Trilinear Handoff，在主体一致性（0.96226 vs. 0.95932）、背景一致性（0.97026 vs. 0.96937）、运动平滑度（0.98815 vs. 0.98376）、美学质量（0.64914 vs. 0.58954）和成像质量（0.71418 vs. 0.58783）上均有所提升，两者动态程度均为 0.50。冷启动延迟仅由 167.09 秒增加到 170.29 秒。与 50 步设置相同，CRLU 提供主要的跨分辨率质量改进，EAA 则降低切换时刻终点残差并提升成像质量维度。该结果支持空间混合分辨率采样与时间步蒸馏的正交性。</w:t>
      </w:r>
    </w:p>
    <w:p>
      <w:pPr>
        <w:spacing w:line="324" w:lineRule="auto" w:after="80"/>
        <w:ind w:firstLine="420"/>
        <w:jc w:val="both"/>
      </w:pPr>
      <w:r>
        <w:rPr>
          <w:rFonts w:ascii="Noto Serif CJK SC" w:hAnsi="Noto Serif CJK SC" w:eastAsia="Noto Serif CJK SC"/>
          <w:sz w:val="21"/>
        </w:rPr>
        <w:t>图 1（a）的定性比较进一步展示了 CRLU 对高频纹理的恢复，以及 EAA 的局部调整。更丰富的空间裁剪和时间序列见图 S1。内容匹配的 Native-HR（估计）参考由一条完整的 368p 轨迹构造，仅用于逐帧结构比较；表 1 的定量评估使用真正的 720p Native-HR Sampling。</w:t>
      </w:r>
    </w:p>
    <w:p>
      <w:pPr>
        <w:pStyle w:val="Heading1"/>
      </w:pPr>
      <w:r>
        <w:t>6 讨论与局限性</w:t>
      </w:r>
    </w:p>
    <w:p>
      <w:pPr>
        <w:spacing w:line="324" w:lineRule="auto" w:after="80"/>
        <w:ind w:firstLine="420"/>
        <w:jc w:val="both"/>
      </w:pPr>
      <w:r>
        <w:rPr>
          <w:rFonts w:ascii="Noto Serif CJK SC" w:hAnsi="Noto Serif CJK SC" w:eastAsia="Noto Serif CJK SC"/>
          <w:sz w:val="21"/>
        </w:rPr>
        <w:t>TrajScale 将跨分辨率表示学习与切换特异性输入校准分离开来。CRLU 把结构和运动转移到目标潜变量网格；EAA 使这一可学习映射能够在低分辨率轨迹收敛之前使用；冻结的高分辨率后缀则完成欠定细节合成。与调度器一致的状态重建，是干净潜变量映射与原生后缀之间的无参数桥梁：它使高分辨率细化得以发生，而不是独立完成细化。这一层级与实验结果一致：CRLU 提供广泛质量增益，而终点指标、成像质量变化和人工偏好共同表明，EAA 修正的是更窄的切换时刻失效模式。</w:t>
      </w:r>
    </w:p>
    <w:p>
      <w:pPr>
        <w:spacing w:line="324" w:lineRule="auto" w:after="80"/>
        <w:ind w:firstLine="420"/>
        <w:jc w:val="both"/>
      </w:pPr>
      <w:r>
        <w:rPr>
          <w:rFonts w:ascii="Noto Serif CJK SC" w:hAnsi="Noto Serif CJK SC" w:eastAsia="Noto Serif CJK SC"/>
          <w:sz w:val="21"/>
        </w:rPr>
        <w:t>两个可学习模块都使用模型内生监督。冻结 Wan 生成器为 CRLU 提供用于成对潜变量构建的高分辨率视频，并为 EAA 提供完整低分辨率轨迹，从而不需要外部成对数据集、独立超分辨率教师或对基础去噪器的修改。不过，两条监督流并非同一分布。EAA 缩小中间预测与原生低分辨率终点之间的残差，却不能消除原生终点与训练 CRLU 所用 RGB 下采样成对潜变量之间的剩余差距。</w:t>
      </w:r>
    </w:p>
    <w:p>
      <w:pPr>
        <w:spacing w:line="324" w:lineRule="auto" w:after="80"/>
        <w:ind w:firstLine="420"/>
        <w:jc w:val="both"/>
      </w:pPr>
      <w:r>
        <w:rPr>
          <w:rFonts w:ascii="Noto Serif CJK SC" w:hAnsi="Noto Serif CJK SC" w:eastAsia="Noto Serif CJK SC"/>
          <w:sz w:val="21"/>
        </w:rPr>
        <w:t>仍有若干局限。CRLU 与目标 VAE、生成器分布、分辨率比例和下采样过程绑定，跨模型与跨退化迁移尚未验证。固定切换步骤需要对应步骤特定的 EAA 参数；若要支持自适应切换，则需要时间步条件化适配器。质量还依赖手动选择的后缀长度，以及调度器状态重建能否适用于其他求解器族。最后，TrajScale 面向模型生成过程中的轨迹内空间缩放，而不是压缩、模糊或传感器噪声等真实世界退化；它也继承基础生成器的内容风险与安全要求。</w:t>
      </w:r>
    </w:p>
    <w:p>
      <w:pPr>
        <w:pStyle w:val="Heading1"/>
      </w:pPr>
      <w:r>
        <w:t>7 结论</w:t>
      </w:r>
    </w:p>
    <w:p>
      <w:pPr>
        <w:spacing w:line="324" w:lineRule="auto" w:after="80"/>
        <w:ind w:firstLine="420"/>
        <w:jc w:val="both"/>
      </w:pPr>
      <w:r>
        <w:rPr>
          <w:rFonts w:ascii="Noto Serif CJK SC" w:hAnsi="Noto Serif CJK SC" w:eastAsia="Noto Serif CJK SC"/>
          <w:sz w:val="21"/>
        </w:rPr>
        <w:t>本文提出 TrajScale，一种用于高效高分辨率视频生成的可学习轨迹内潜变量上采样框架。CRLU 建立模型特定的跨分辨率干净潜变量映射；EAA 修正在低分辨率轨迹收敛前部署该映射时产生的输入失配；冻结高分辨率后缀负责合成无法由低分辨率输入唯一确定的细节。两个可学习模块均使用冻结目标模型生成的监督进行训练，基础去噪器与调度器保持不变。</w:t>
      </w:r>
    </w:p>
    <w:p>
      <w:pPr>
        <w:spacing w:line="324" w:lineRule="auto" w:after="80"/>
        <w:ind w:firstLine="420"/>
        <w:jc w:val="both"/>
      </w:pPr>
      <w:r>
        <w:rPr>
          <w:rFonts w:ascii="Noto Serif CJK SC" w:hAnsi="Noto Serif CJK SC" w:eastAsia="Noto Serif CJK SC"/>
          <w:sz w:val="21"/>
        </w:rPr>
        <w:t>TrajScale-Q 与 TrajScale-E 分别实现 1.83 倍和 2.22 倍加速。分别报告的六个 VBench 维度表明，相较 Native-HR，它们在背景一致性和运动平滑度上的下降最小，而主体一致性和成像质量下降更大。CRLU 持续优于三线性插值，并提供主要的跨分辨率质量增益；EAA 则降低终点残差，并在标准采样器和蒸馏采样器上改善局部视觉细节。这些结果表明，准确的可学习尺度转移、切换特异性输入校准与原生后缀细化，为混合分辨率视频扩散提供了一种实用的职责划分。</w:t>
      </w:r>
    </w:p>
    <w:p>
      <w:pPr>
        <w:pStyle w:val="Heading1"/>
      </w:pPr>
      <w:r>
        <w:t>参考文献</w:t>
      </w:r>
    </w:p>
    <w:p>
      <w:pPr>
        <w:spacing w:line="276" w:lineRule="auto" w:after="60"/>
        <w:ind w:left="369" w:hanging="369"/>
      </w:pPr>
      <w:r>
        <w:rPr>
          <w:rFonts w:ascii="Times New Roman" w:hAnsi="Times New Roman" w:eastAsia="Noto Serif CJK SC"/>
          <w:sz w:val="18"/>
        </w:rPr>
        <w:t>Blattmann, A.; Rombach, R.; Ling, H.; Dockhorn, T.; Kim, S. W.; Fidler, S.; and Kreis, K. 2023. Align Your Latents: High-Resolution Video Synthesis with Latent Diffusion Models. In Proceedings of the IEEE/CVF Conference on Computer Vision and Pattern Recognition.</w:t>
      </w:r>
    </w:p>
    <w:p>
      <w:pPr>
        <w:spacing w:line="276" w:lineRule="auto" w:after="60"/>
        <w:ind w:left="369" w:hanging="369"/>
      </w:pPr>
      <w:r>
        <w:rPr>
          <w:rFonts w:ascii="Times New Roman" w:hAnsi="Times New Roman" w:eastAsia="Noto Serif CJK SC"/>
          <w:sz w:val="18"/>
        </w:rPr>
        <w:t>Gu, Y.; Fang, G.; Jiang, Y.; Mao, W.; Han, S.; Cai, H.; and Shou, M. Z. 2026. AnyFlow: Any-Step Video Diffusion Model with On-Policy Flow Map Distillation. arXiv:2605.13724.</w:t>
      </w:r>
    </w:p>
    <w:p>
      <w:pPr>
        <w:spacing w:line="276" w:lineRule="auto" w:after="60"/>
        <w:ind w:left="369" w:hanging="369"/>
      </w:pPr>
      <w:r>
        <w:rPr>
          <w:rFonts w:ascii="Times New Roman" w:hAnsi="Times New Roman" w:eastAsia="Noto Serif CJK SC"/>
          <w:sz w:val="18"/>
        </w:rPr>
        <w:t>HaCohen, Y.; Brazowski, B.; Chiprut, N.; Bitterman, Y.; Kvochko, A.; Berkowitz, A.; Shalem, D.; Lifschitz, D.; Moshe, D.; Porat, E.; Richardson, E.; Shiran, G.; Chachy, I.; Chetboun, J.; Finkelson, M.; Kupchick, M.; Zabari, N.; Guetta, N.; Kotler, N.; Bibi, O.; Gordon, O.; Panet, P.; Benita, R.; Armon, S.; Kulikov, V.; Inger, Y.; Shiftan, Y.; Melumian, Z.; and Farbman, Z. 2026. LTX-2: Efficient Joint Audio-Visual Foundation Model. arXiv:2601.03233.</w:t>
      </w:r>
    </w:p>
    <w:p>
      <w:pPr>
        <w:spacing w:line="276" w:lineRule="auto" w:after="60"/>
        <w:ind w:left="369" w:hanging="369"/>
      </w:pPr>
      <w:r>
        <w:rPr>
          <w:rFonts w:ascii="Times New Roman" w:hAnsi="Times New Roman" w:eastAsia="Noto Serif CJK SC"/>
          <w:sz w:val="18"/>
        </w:rPr>
        <w:t>Hu, E. J.; Shen, Y.; Wallis, P.; Allen-Zhu, Z.; Li, Y.; Wang, S.; Wang, L.; and Chen, W. 2022. LoRA: Low-Rank Adaptation of Large Language Models. In International Conference on Learning Representations.</w:t>
      </w:r>
    </w:p>
    <w:p>
      <w:pPr>
        <w:spacing w:line="276" w:lineRule="auto" w:after="60"/>
        <w:ind w:left="369" w:hanging="369"/>
      </w:pPr>
      <w:r>
        <w:rPr>
          <w:rFonts w:ascii="Times New Roman" w:hAnsi="Times New Roman" w:eastAsia="Noto Serif CJK SC"/>
          <w:sz w:val="18"/>
        </w:rPr>
        <w:t>Huang, X.; Li, Z.; He, G.; Zhou, M.; and Shechtman, E. 2025. Self Forcing: Bridging the Train-Test Gap in Autoregressive Video Diffusion. arXiv:2506.08009.</w:t>
      </w:r>
    </w:p>
    <w:p>
      <w:pPr>
        <w:spacing w:line="276" w:lineRule="auto" w:after="60"/>
        <w:ind w:left="369" w:hanging="369"/>
      </w:pPr>
      <w:r>
        <w:rPr>
          <w:rFonts w:ascii="Times New Roman" w:hAnsi="Times New Roman" w:eastAsia="Noto Serif CJK SC"/>
          <w:sz w:val="18"/>
        </w:rPr>
        <w:t>Huang, Z.; He, Y.; Yu, J.; Zhang, F.; Si, C.; Jiang, Y.; Zhang, Y.; Wu, T.; Jin, Q.; Chanpaisit, N.; Wang, Y.; Chen, X.; Wang, L.; Lin, D.; Qiao, Y.; and Liu, Z. 2024. VBench: Comprehensive Benchmark Suite for Video Generative Models. In Proceedings of the IEEE/CVF Conference on Computer Vision and Pattern Recognition.</w:t>
      </w:r>
    </w:p>
    <w:p>
      <w:pPr>
        <w:spacing w:line="276" w:lineRule="auto" w:after="60"/>
        <w:ind w:left="369" w:hanging="369"/>
      </w:pPr>
      <w:r>
        <w:rPr>
          <w:rFonts w:ascii="Times New Roman" w:hAnsi="Times New Roman" w:eastAsia="Noto Serif CJK SC"/>
          <w:sz w:val="18"/>
        </w:rPr>
        <w:t>Jeong, W.; Lee, K.; Seo, H.; and Chun, S. Y. 2025. Training-Free Mixed-Resolution Latent Upsampling for Spatially Accelerated Diffusion Transformers. arXiv:2507.08422.</w:t>
      </w:r>
    </w:p>
    <w:p>
      <w:pPr>
        <w:spacing w:line="276" w:lineRule="auto" w:after="60"/>
        <w:ind w:left="369" w:hanging="369"/>
      </w:pPr>
      <w:r>
        <w:rPr>
          <w:rFonts w:ascii="Times New Roman" w:hAnsi="Times New Roman" w:eastAsia="Noto Serif CJK SC"/>
          <w:sz w:val="18"/>
        </w:rPr>
        <w:t>Luo, S.; Tan, Y.; Huang, L.; Li, J.; and Zhao, H. 2023. Latent Consistency Models: Synthesizing High-Resolution Images with Few-Step Inference. arXiv:2310.04378.</w:t>
      </w:r>
    </w:p>
    <w:p>
      <w:pPr>
        <w:spacing w:line="276" w:lineRule="auto" w:after="60"/>
        <w:ind w:left="369" w:hanging="369"/>
      </w:pPr>
      <w:r>
        <w:rPr>
          <w:rFonts w:ascii="Times New Roman" w:hAnsi="Times New Roman" w:eastAsia="Noto Serif CJK SC"/>
          <w:sz w:val="18"/>
        </w:rPr>
        <w:t>ModelTC. 2026. LightX2V: Variable Resolution Inference and Step Distillation Documentation. https://github.com/ModelTC/LightX2V. Accessed: 2026-07-15.</w:t>
      </w:r>
    </w:p>
    <w:p>
      <w:pPr>
        <w:spacing w:line="276" w:lineRule="auto" w:after="60"/>
        <w:ind w:left="369" w:hanging="369"/>
      </w:pPr>
      <w:r>
        <w:rPr>
          <w:rFonts w:ascii="Times New Roman" w:hAnsi="Times New Roman" w:eastAsia="Noto Serif CJK SC"/>
          <w:sz w:val="18"/>
        </w:rPr>
        <w:t>Rombach, R.; Blattmann, A.; Lorenz, D.; Esser, P.; and Ommer, B. 2022. High-Resolution Image Synthesis with Latent Diffusion Models. In Proceedings of the IEEE/CVF Conference on Computer Vision and Pattern Recognition.</w:t>
      </w:r>
    </w:p>
    <w:p>
      <w:pPr>
        <w:spacing w:line="276" w:lineRule="auto" w:after="60"/>
        <w:ind w:left="369" w:hanging="369"/>
      </w:pPr>
      <w:r>
        <w:rPr>
          <w:rFonts w:ascii="Times New Roman" w:hAnsi="Times New Roman" w:eastAsia="Noto Serif CJK SC"/>
          <w:sz w:val="18"/>
        </w:rPr>
        <w:t>Wan, T.; Wang, A.; Ai, B.; Wen, B.; Mao, C.; Xie, C.-W.; Chen, D.; Yu, F.; Zhao, H.; Yang, J.; Zeng, J.; Wang, J.; Zhang, J.; Zhou, J.; Wang, J.; Chen, J.; Zhu, K.; Zhao, K.; Yan, K.; Huang, L.; Feng, M.; Zhang, N.; Li, P.; Wu, P.; Chu, R.; Feng, R.; Zhang, S.; Sun, S.; Fang, T.; Wang, T.; Gui, T.; Weng, T.; Shen, T.; Lin, W.; Wang, W.; Wang, W.; Zhou, W.; Wang, W.; Shen, W.; Yu, W.; Shi, X.; Huang, X.; Xu, X.; Kou, Y.; Lv, Y.; Li, Y.; Liu, Y.; Wang, Y.; Zhang, Y.; Huang, Y.; Li, Y.; Wu, Y.; Liu, Y.; Pan, Y.; Zheng, Y.; Hong, Y.; Shi, Y.; Feng, Y.; Jiang, Z.; Han, Z.; Wu, Z.-F.; and Liu, Z. 2025. Wan: Open and Advanced Large-Scale Video Generative Models. arXiv:2503.20314.</w:t>
      </w:r>
    </w:p>
    <w:p>
      <w:pPr>
        <w:spacing w:line="276" w:lineRule="auto" w:after="60"/>
        <w:ind w:left="369" w:hanging="369"/>
      </w:pPr>
      <w:r>
        <w:rPr>
          <w:rFonts w:ascii="Times New Roman" w:hAnsi="Times New Roman" w:eastAsia="Noto Serif CJK SC"/>
          <w:sz w:val="18"/>
        </w:rPr>
        <w:t>Xu, Y.; Park, T.; Zhang, R.; Zhou, Y.; Shechtman, E.; Liu, F.; Huang, J.-B.; and Liu, D. 2024. VideoGigaGAN: Towards Detail-Rich Video Super-Resolution. In Proceedings of the IEEE/CVF Conference on Computer Vision and Pattern Recognition.</w:t>
      </w:r>
    </w:p>
    <w:p>
      <w:pPr>
        <w:spacing w:line="276" w:lineRule="auto" w:after="60"/>
        <w:ind w:left="369" w:hanging="369"/>
      </w:pPr>
      <w:r>
        <w:rPr>
          <w:rFonts w:ascii="Times New Roman" w:hAnsi="Times New Roman" w:eastAsia="Noto Serif CJK SC"/>
          <w:sz w:val="18"/>
        </w:rPr>
        <w:t>Yin, T.; Gharbi, M.; Park, T.; Zhang, R.; Shechtman, E.; Durand, F.; and Freeman, W. T. 2024. Improved Distribution Matching Distillation for Fast Image Synthesis. arXiv:2405.14867.</w:t>
      </w:r>
    </w:p>
    <w:p>
      <w:pPr>
        <w:spacing w:line="276" w:lineRule="auto" w:after="60"/>
        <w:ind w:left="369" w:hanging="369"/>
      </w:pPr>
      <w:r>
        <w:rPr>
          <w:rFonts w:ascii="Times New Roman" w:hAnsi="Times New Roman" w:eastAsia="Noto Serif CJK SC"/>
          <w:sz w:val="18"/>
        </w:rPr>
        <w:t>Zhai, Y.; Lin, K.; Yang, Z.; Li, L.; Wang, J.; Lin, C.-C.; Doermann, D.; Yuan, J.; and Wang, L. 2024. Motion Consistency Model: Accelerating Video Diffusion with Disentangled Motion-Appearance Distillation. arXiv:2406.06890.</w:t>
      </w:r>
    </w:p>
    <w:p>
      <w:pPr>
        <w:spacing w:line="276" w:lineRule="auto" w:after="60"/>
        <w:ind w:left="369" w:hanging="369"/>
      </w:pPr>
      <w:r>
        <w:rPr>
          <w:rFonts w:ascii="Times New Roman" w:hAnsi="Times New Roman" w:eastAsia="Noto Serif CJK SC"/>
          <w:sz w:val="18"/>
        </w:rPr>
        <w:t>Zhao, C.; Chen, J.; Li, H.; Kang, Z.; Lu, S.; Wei, X.; Zhang, K.; Yang, J.; and Tai, Y. 2026. LUVE: Latent-Cascaded Ultra-High-Resolution Video Generation with Dual Frequency Experts. arXiv:2602.11564.</w:t>
      </w:r>
    </w:p>
    <w:p>
      <w:pPr>
        <w:spacing w:line="276" w:lineRule="auto" w:after="60"/>
        <w:ind w:left="369" w:hanging="369"/>
      </w:pPr>
      <w:r>
        <w:rPr>
          <w:rFonts w:ascii="Times New Roman" w:hAnsi="Times New Roman" w:eastAsia="Noto Serif CJK SC"/>
          <w:sz w:val="18"/>
        </w:rPr>
        <w:t>Zheng, X.; Liu, X.; Ding, Y.; Feng, W.; Lin, J.; Guo, J.; and Qin, H. 2026. Multi-Resolution Flow Matching: Training-Free Diffusion Acceleration via Staged Sampling. arXiv:2607.01642.</w:t>
      </w:r>
    </w:p>
    <w:p>
      <w:pPr>
        <w:spacing w:line="276" w:lineRule="auto" w:after="60"/>
        <w:ind w:left="369" w:hanging="369"/>
      </w:pPr>
      <w:r>
        <w:rPr>
          <w:rFonts w:ascii="Times New Roman" w:hAnsi="Times New Roman" w:eastAsia="Noto Serif CJK SC"/>
          <w:sz w:val="18"/>
        </w:rPr>
        <w:t>Zhou, S.; Yang, P.; Wang, J.; Luo, Y.; and Loy, C. C. 2024. Upscale-A-Video: Temporal-Consistent Diffusion Model for Real-World Video Super-Resolution. In Proceedings of the IEEE/CVF Conference on Computer Vision and Pattern Recognition.</w:t>
      </w:r>
    </w:p>
    <w:sectPr w:rsidR="00FC693F" w:rsidRPr="0006063C" w:rsidSect="00034616">
      <w:footerReference w:type="default" r:id="rId12"/>
      <w:pgSz w:w="11906" w:h="16838"/>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24" w:lineRule="auto"/>
    </w:pPr>
    <w:rPr>
      <w:rFonts w:ascii="Noto Serif CJK SC" w:hAnsi="Noto Serif CJK SC" w:eastAsia="Noto Serif CJK SC"/>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Noto Serif CJK SC" w:hAnsi="Noto Serif CJK SC" w:eastAsia="Noto Serif CJK SC"/>
      <w:b/>
      <w:bCs/>
      <w:color w:val="18345D"/>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Noto Serif CJK SC" w:hAnsi="Noto Serif CJK SC" w:eastAsia="Noto Serif CJK SC"/>
      <w:b/>
      <w:bCs/>
      <w:color w:val="18345D"/>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Noto Serif CJK SC" w:hAnsi="Noto Serif CJK SC" w:eastAsia="Noto Serif CJK SC"/>
      <w:b/>
      <w:bCs/>
      <w:color w:val="18345D"/>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Noto Serif CJK SC" w:hAnsi="Noto Serif CJK SC" w:eastAsia="Noto Serif CJK SC"/>
      <w:b/>
      <w:color w:val="18345D"/>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TrajScale：面向高效高分辨率视频生成的解耦式混合分辨率采样（中文全文翻译）</dc:title>
  <dc:subject>论文中文翻译</dc:subject>
  <dc:creator>OpenAI</dc:creator>
  <cp:keywords>TrajScale, 视频生成, 混合分辨率, CRLU, EAA</cp:keywords>
  <dc:description>generated by python-docx</dc:description>
  <cp:lastModifiedBy/>
  <cp:revision>1</cp:revision>
  <dcterms:created xsi:type="dcterms:W3CDTF">2013-12-23T23:15:00Z</dcterms:created>
  <dcterms:modified xsi:type="dcterms:W3CDTF">2013-12-23T23:15:00Z</dcterms:modified>
  <cp:category/>
</cp:coreProperties>
</file>