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怪物的设计风格及机制方向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设计框架：怪物机制如何呼应核心系统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分层 HP 设计（可根据所需灵活调整）：普通敌 </w:t>
      </w:r>
      <w:r>
        <w:rPr>
          <w:rFonts w:eastAsia="Consolas" w:ascii="Consolas" w:cs="Consolas" w:hAnsi="Consolas"/>
          <w:sz w:val="22"/>
          <w:shd w:fill="EFF0F1"/>
        </w:rPr>
        <w:t>150–250</w:t>
      </w:r>
      <w:r>
        <w:rPr>
          <w:rFonts w:eastAsia="等线" w:ascii="Arial" w:cs="Arial" w:hAnsi="Arial"/>
          <w:sz w:val="22"/>
        </w:rPr>
        <w:t xml:space="preserve"> / 精英 </w:t>
      </w:r>
      <w:r>
        <w:rPr>
          <w:rFonts w:eastAsia="Consolas" w:ascii="Consolas" w:cs="Consolas" w:hAnsi="Consolas"/>
          <w:sz w:val="22"/>
          <w:shd w:fill="EFF0F1"/>
        </w:rPr>
        <w:t>380–540</w:t>
      </w:r>
      <w:r>
        <w:rPr>
          <w:rFonts w:eastAsia="等线" w:ascii="Arial" w:cs="Arial" w:hAnsi="Arial"/>
          <w:sz w:val="22"/>
        </w:rPr>
        <w:t xml:space="preserve"> / 中点 Boss </w:t>
      </w:r>
      <w:r>
        <w:rPr>
          <w:rFonts w:eastAsia="Consolas" w:ascii="Consolas" w:cs="Consolas" w:hAnsi="Consolas"/>
          <w:sz w:val="22"/>
          <w:shd w:fill="EFF0F1"/>
        </w:rPr>
        <w:t>600–900</w:t>
      </w:r>
      <w:r>
        <w:rPr>
          <w:rFonts w:eastAsia="等线" w:ascii="Arial" w:cs="Arial" w:hAnsi="Arial"/>
          <w:sz w:val="22"/>
        </w:rPr>
        <w:t xml:space="preserve"> / 地点 Boss </w:t>
      </w:r>
      <w:r>
        <w:rPr>
          <w:rFonts w:eastAsia="Consolas" w:ascii="Consolas" w:cs="Consolas" w:hAnsi="Consolas"/>
          <w:sz w:val="22"/>
          <w:shd w:fill="EFF0F1"/>
        </w:rPr>
        <w:t>700–1000</w:t>
      </w:r>
      <w:r>
        <w:rPr>
          <w:rFonts w:eastAsia="等线" w:ascii="Arial" w:cs="Arial" w:hAnsi="Arial"/>
          <w:sz w:val="22"/>
        </w:rPr>
        <w:t xml:space="preserve"> / 终局 Boss </w:t>
      </w:r>
      <w:r>
        <w:rPr>
          <w:rFonts w:eastAsia="Consolas" w:ascii="Consolas" w:cs="Consolas" w:hAnsi="Consolas"/>
          <w:sz w:val="22"/>
          <w:shd w:fill="EFF0F1"/>
        </w:rPr>
        <w:t>2000</w:t>
      </w:r>
      <w:r>
        <w:rPr>
          <w:rFonts w:eastAsia="等线" w:ascii="Arial" w:cs="Arial" w:hAnsi="Arial"/>
          <w:sz w:val="22"/>
        </w:rPr>
        <w:t>（固定）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接下来将以每个地区为组别，分别设计地区的设计风格与机制。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下区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缄默修道院（修道士/盲眼/）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随机给予卡牌费用±的效果</w:t>
      </w:r>
    </w:p>
    <w:p>
      <w:pPr>
        <w:spacing w:before="120" w:after="120" w:line="288" w:lineRule="auto"/>
        <w:ind w:left="0"/>
      </w:pPr>
      <w:r>
        <w:object>
          <v:shape id="_x0000_i1026" style="width:414pt;height:18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荒野（野人/手/血肉）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战斗狂热，会有各种加速的组合</w:t>
      </w:r>
    </w:p>
    <w:p>
      <w:pPr>
        <w:spacing w:before="120" w:after="120" w:line="288" w:lineRule="auto"/>
        <w:ind w:left="0"/>
      </w:pPr>
      <w:r>
        <w:object>
          <v:shape id="_x0000_i1027" style="width:414pt;height:185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石心城（磐石/矿物/国家阶级）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抗推迟抗加速等</w:t>
      </w:r>
    </w:p>
    <w:p>
      <w:pPr>
        <w:spacing w:before="120" w:after="120" w:line="288" w:lineRule="auto"/>
        <w:ind w:left="0"/>
      </w:pPr>
      <w:r>
        <w:object>
          <v:shape id="_x0000_i1028" style="width:414pt;height:18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塞壬镇（触手/克苏鲁/羊蹄/海边城镇/）</w:t>
      </w:r>
      <w:bookmarkEnd w:id="5"/>
    </w:p>
    <w:p>
      <w:pPr>
        <w:spacing w:before="120" w:after="120" w:line="288" w:lineRule="auto"/>
        <w:ind w:left="0"/>
      </w:pPr>
      <w:r>
        <w:object>
          <v:shape id="_x0000_i1029" style="width:414pt;height:17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强盗（绿帽子）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偷盗卡牌</w:t>
      </w:r>
    </w:p>
    <w:p>
      <w:pPr>
        <w:spacing w:before="120" w:after="120" w:line="288" w:lineRule="auto"/>
        <w:ind w:left="0"/>
      </w:pPr>
      <w:r>
        <w:object>
          <v:shape id="_x0000_i1030" style="width:414pt;height:174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古国遗迹（骑士团）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给予士气/易伤等设计</w:t>
      </w:r>
    </w:p>
    <w:p>
      <w:pPr>
        <w:spacing w:before="120" w:after="120" w:line="288" w:lineRule="auto"/>
        <w:ind w:left="0"/>
      </w:pPr>
      <w:r>
        <w:object>
          <v:shape id="_x0000_i1031" style="width:414pt;height:179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上区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烛村（蜡烛/融化/人形/无面者）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天气眩晕该队列格所有单位。</w:t>
      </w:r>
    </w:p>
    <w:p>
      <w:pPr>
        <w:spacing w:before="120" w:after="120" w:line="288" w:lineRule="auto"/>
        <w:ind w:left="0"/>
      </w:pPr>
      <w:r>
        <w:object>
          <v:shape id="_x0000_i1032" style="width:414pt;height:182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真理之墙（真理枝条/实验者/囚徒）</w:t>
      </w:r>
      <w:bookmarkEnd w:id="10"/>
    </w:p>
    <w:p>
      <w:pPr>
        <w:spacing w:before="120" w:after="120" w:line="288" w:lineRule="auto"/>
        <w:ind w:left="0"/>
      </w:pPr>
      <w:r>
        <w:object>
          <v:shape id="_x0000_i1033" style="width:414pt;height:185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法师塔（法师/人造人/）</w:t>
      </w:r>
      <w:bookmarkEnd w:id="11"/>
    </w:p>
    <w:p>
      <w:pPr>
        <w:spacing w:before="120" w:after="120" w:line="288" w:lineRule="auto"/>
        <w:ind w:left="0"/>
      </w:pPr>
      <w:r>
        <w:object>
          <v:shape id="_x0000_i1034" style="width:414pt;height:179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龙骨之地（萨满/龙裔）</w:t>
      </w:r>
      <w:bookmarkEnd w:id="12"/>
    </w:p>
    <w:p>
      <w:pPr>
        <w:spacing w:before="120" w:after="120" w:line="288" w:lineRule="auto"/>
        <w:ind w:left="0"/>
      </w:pPr>
      <w:r>
        <w:object>
          <v:shape id="_x0000_i1035" style="width:414pt;height:166pt;mso-width-percent:0;mso-height-percent:0;mso-width-percent:0;mso-height-percent:0" type="#_x0000_t75" o:ole="">
            <v:imagedata r:id="rId25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龙</w:t>
      </w:r>
      <w:bookmarkEnd w:id="13"/>
    </w:p>
    <w:p>
      <w:pPr>
        <w:spacing w:before="120" w:after="120" w:line="288" w:lineRule="auto"/>
        <w:ind w:left="0"/>
      </w:pPr>
      <w:r>
        <w:object>
          <v:shape id="_x0000_i1036" style="width:414pt;height:166pt;mso-width-percent:0;mso-height-percent:0;mso-width-percent:0;mso-height-percent:0" type="#_x0000_t75" o:ole="">
            <v:imagedata r:id="rId25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灰雾深处（不可名状/混乱/未知）</w:t>
      </w:r>
      <w:bookmarkEnd w:id="14"/>
    </w:p>
    <w:p>
      <w:pPr>
        <w:spacing w:before="120" w:after="120" w:line="288" w:lineRule="auto"/>
        <w:ind w:left="0"/>
      </w:pPr>
      <w:r>
        <w:object>
          <v:shape id="_x0000_i1037" style="width:414pt;height:166pt;mso-width-percent:0;mso-height-percent:0;mso-width-percent:0;mso-height-percent:0" type="#_x0000_t75" o:ole="">
            <v:imagedata r:id="rId25" o:title=""/>
          </v:shape>
          <o:OLEObject DrawAspect="Icon" ObjectID="_1718471231" ProgID="Excel.Sheet.12" ShapeID="_x0000_i1037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2.xlsx" Type="http://schemas.openxmlformats.org/officeDocument/2006/relationships/package"/><Relationship Id="rId27" Target="embeddings/Microsoft_Excel_Worksheet13.xlsx" Type="http://schemas.openxmlformats.org/officeDocument/2006/relationships/pack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2026-07-19T09:39:51Z</dcterms:created>
  <dc:creator>Apache POI</dc:creator>
</cp:coreProperties>
</file>