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5D9D9">
      <w:pPr>
        <w:pStyle w:val="2"/>
        <w:keepNext w:val="0"/>
        <w:keepLines w:val="0"/>
        <w:widowControl/>
        <w:suppressLineNumbers w:val="0"/>
        <w:jc w:val="center"/>
        <w:rPr>
          <w:rFonts w:hint="eastAsia" w:asciiTheme="majorEastAsia" w:hAnsiTheme="majorEastAsia" w:eastAsiaTheme="majorEastAsia" w:cstheme="majorEastAsia"/>
          <w:b/>
          <w:bCs w:val="0"/>
          <w:kern w:val="2"/>
          <w:sz w:val="36"/>
          <w:szCs w:val="36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 w:val="0"/>
          <w:kern w:val="2"/>
          <w:sz w:val="36"/>
          <w:szCs w:val="36"/>
          <w:lang w:val="en-US" w:eastAsia="zh-CN" w:bidi="ar-SA"/>
        </w:rPr>
        <w:t>控制与决策子系统核心用例规约</w:t>
      </w:r>
    </w:p>
    <w:p w14:paraId="214E3137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用例图如下：</w:t>
      </w:r>
    </w:p>
    <w:p w14:paraId="7942C1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37580" cy="6830695"/>
            <wp:effectExtent l="0" t="0" r="1270" b="8255"/>
            <wp:docPr id="1" name="图片 1" descr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用例图"/>
                    <pic:cNvPicPr>
                      <a:picLocks noChangeAspect="1"/>
                    </pic:cNvPicPr>
                  </pic:nvPicPr>
                  <pic:blipFill>
                    <a:blip r:embed="rId4"/>
                    <a:srcRect l="14374" t="28290" b="4029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68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1563">
      <w:pPr>
        <w:pStyle w:val="3"/>
        <w:rPr>
          <w:sz w:val="24"/>
          <w:szCs w:val="24"/>
        </w:rPr>
      </w:pPr>
    </w:p>
    <w:p w14:paraId="1A9B8B7A">
      <w:pPr>
        <w:pStyle w:val="3"/>
        <w:rPr>
          <w:sz w:val="24"/>
          <w:szCs w:val="24"/>
        </w:rPr>
      </w:pPr>
    </w:p>
    <w:p w14:paraId="7B89CAF7">
      <w:pPr>
        <w:pStyle w:val="3"/>
        <w:rPr>
          <w:sz w:val="24"/>
          <w:szCs w:val="24"/>
        </w:rPr>
      </w:pPr>
    </w:p>
    <w:p w14:paraId="766C34D5">
      <w:pPr>
        <w:pStyle w:val="3"/>
        <w:rPr>
          <w:sz w:val="24"/>
          <w:szCs w:val="24"/>
        </w:rPr>
      </w:pPr>
      <w:r>
        <w:rPr>
          <w:sz w:val="24"/>
          <w:szCs w:val="24"/>
        </w:rPr>
        <w:t>UC-001 分配采摘任务</w:t>
      </w:r>
      <w:bookmarkStart w:id="0" w:name="_GoBack"/>
      <w:bookmarkEnd w:id="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6"/>
        <w:gridCol w:w="4266"/>
      </w:tblGrid>
      <w:tr w14:paraId="21DCB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624044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320" w:type="dxa"/>
          </w:tcPr>
          <w:p w14:paraId="0262D76B">
            <w:pPr>
              <w:spacing w:after="0" w:line="240" w:lineRule="auto"/>
            </w:pPr>
            <w:r>
              <w:t>UC-001</w:t>
            </w:r>
          </w:p>
        </w:tc>
      </w:tr>
      <w:tr w14:paraId="6CAAA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7D642C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320" w:type="dxa"/>
          </w:tcPr>
          <w:p w14:paraId="0CDE7577">
            <w:pPr>
              <w:spacing w:after="0" w:line="240" w:lineRule="auto"/>
            </w:pPr>
            <w:r>
              <w:t>分配采摘任务</w:t>
            </w:r>
          </w:p>
        </w:tc>
      </w:tr>
      <w:tr w14:paraId="1CF78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448C6E">
            <w:pPr>
              <w:spacing w:after="0" w:line="240" w:lineRule="auto"/>
            </w:pPr>
            <w:r>
              <w:t>行为者</w:t>
            </w:r>
          </w:p>
        </w:tc>
        <w:tc>
          <w:tcPr>
            <w:tcW w:w="4320" w:type="dxa"/>
          </w:tcPr>
          <w:p w14:paraId="019AB4A8">
            <w:pPr>
              <w:spacing w:after="0" w:line="240" w:lineRule="auto"/>
            </w:pPr>
            <w:r>
              <w:t>无人机系统、无人车系统</w:t>
            </w:r>
          </w:p>
        </w:tc>
      </w:tr>
      <w:tr w14:paraId="66178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DB592C">
            <w:pPr>
              <w:spacing w:after="0" w:line="240" w:lineRule="auto"/>
            </w:pPr>
            <w:r>
              <w:t>用例类型</w:t>
            </w:r>
          </w:p>
        </w:tc>
        <w:tc>
          <w:tcPr>
            <w:tcW w:w="4320" w:type="dxa"/>
          </w:tcPr>
          <w:p w14:paraId="1B295E2F">
            <w:pPr>
              <w:spacing w:after="0" w:line="240" w:lineRule="auto"/>
            </w:pPr>
            <w:r>
              <w:t>核心业务用例</w:t>
            </w:r>
          </w:p>
        </w:tc>
      </w:tr>
      <w:tr w14:paraId="6E225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14AC06">
            <w:pPr>
              <w:spacing w:after="0" w:line="240" w:lineRule="auto"/>
            </w:pPr>
            <w:r>
              <w:t>用例描述</w:t>
            </w:r>
          </w:p>
        </w:tc>
        <w:tc>
          <w:tcPr>
            <w:tcW w:w="4320" w:type="dxa"/>
          </w:tcPr>
          <w:p w14:paraId="6F208156">
            <w:pPr>
              <w:spacing w:after="0" w:line="240" w:lineRule="auto"/>
            </w:pPr>
            <w:r>
              <w:t>系统基于无人机提供的YOLOv11目标识别结果，结合无人车当前状态，智能分配最优的采摘任务序列。</w:t>
            </w:r>
          </w:p>
        </w:tc>
      </w:tr>
      <w:tr w14:paraId="3956B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2FEAD6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320" w:type="dxa"/>
          </w:tcPr>
          <w:p w14:paraId="7F09ADD0">
            <w:pPr>
              <w:spacing w:after="0" w:line="240" w:lineRule="auto"/>
            </w:pPr>
            <w:r>
              <w:t>无人机已完成果园扫描并传输识别结果；无人车系统处于就绪状态；控制系统正常运行</w:t>
            </w:r>
          </w:p>
        </w:tc>
      </w:tr>
      <w:tr w14:paraId="05C15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91CC74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320" w:type="dxa"/>
          </w:tcPr>
          <w:p w14:paraId="276FF7F6">
            <w:pPr>
              <w:spacing w:after="0" w:line="240" w:lineRule="auto"/>
            </w:pPr>
            <w:r>
              <w:t>生成优化的采摘任务列表；任务已分配给相应的无人车；系统记录任务分配结果</w:t>
            </w:r>
          </w:p>
        </w:tc>
      </w:tr>
      <w:tr w14:paraId="488B9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2BC0">
            <w:pPr>
              <w:spacing w:after="0" w:line="240" w:lineRule="auto"/>
            </w:pPr>
            <w:r>
              <w:t>基本流程</w:t>
            </w:r>
          </w:p>
        </w:tc>
        <w:tc>
          <w:tcPr>
            <w:tcW w:w="4320" w:type="dxa"/>
          </w:tcPr>
          <w:p w14:paraId="31475030">
            <w:pPr>
              <w:spacing w:after="0" w:line="240" w:lineRule="auto"/>
            </w:pPr>
            <w:r>
              <w:t>1. 系统接收无人机传输的柑橘识别数据</w:t>
            </w:r>
            <w:r>
              <w:br w:type="textWrapping"/>
            </w:r>
            <w:r>
              <w:t>2. 分析柑橘成熟度、位置坐标、密度分布</w:t>
            </w:r>
            <w:r>
              <w:br w:type="textWrapping"/>
            </w:r>
            <w:r>
              <w:t>3. 获取无人车状态信息</w:t>
            </w:r>
            <w:r>
              <w:br w:type="textWrapping"/>
            </w:r>
            <w:r>
              <w:t>4. 多目标优化计算任务优先级</w:t>
            </w:r>
            <w:r>
              <w:br w:type="textWrapping"/>
            </w:r>
            <w:r>
              <w:t>5. 分配任务</w:t>
            </w:r>
            <w:r>
              <w:br w:type="textWrapping"/>
            </w:r>
            <w:r>
              <w:t>6. 生成任务序列并发送</w:t>
            </w:r>
            <w:r>
              <w:br w:type="textWrapping"/>
            </w:r>
            <w:r>
              <w:t>7. 记录分配结果</w:t>
            </w:r>
          </w:p>
        </w:tc>
      </w:tr>
      <w:tr w14:paraId="5EAE2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2CD4B0">
            <w:pPr>
              <w:spacing w:after="0" w:line="240" w:lineRule="auto"/>
            </w:pPr>
            <w:r>
              <w:t>扩展流程</w:t>
            </w:r>
          </w:p>
        </w:tc>
        <w:tc>
          <w:tcPr>
            <w:tcW w:w="4320" w:type="dxa"/>
          </w:tcPr>
          <w:p w14:paraId="6EB76A88">
            <w:pPr>
              <w:spacing w:after="0" w:line="240" w:lineRule="auto"/>
            </w:pPr>
            <w:r>
              <w:t>3a. 无人车状态异常 → 移除并重新分配</w:t>
            </w:r>
            <w:r>
              <w:br w:type="textWrapping"/>
            </w:r>
            <w:r>
              <w:t>4a. 识别数据质量不佳 → 请求无人机重新扫描</w:t>
            </w:r>
          </w:p>
        </w:tc>
      </w:tr>
      <w:tr w14:paraId="38D8B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E9675E">
            <w:pPr>
              <w:spacing w:after="0" w:line="240" w:lineRule="auto"/>
            </w:pPr>
            <w:r>
              <w:t>异常流程</w:t>
            </w:r>
          </w:p>
        </w:tc>
        <w:tc>
          <w:tcPr>
            <w:tcW w:w="4320" w:type="dxa"/>
          </w:tcPr>
          <w:p w14:paraId="23196000">
            <w:pPr>
              <w:spacing w:after="0" w:line="240" w:lineRule="auto"/>
            </w:pPr>
            <w:r>
              <w:t>E1. 通信中断 → 使用最近有效数据临时分配并恢复通信</w:t>
            </w:r>
          </w:p>
        </w:tc>
      </w:tr>
      <w:tr w14:paraId="2675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4241DC">
            <w:pPr>
              <w:spacing w:after="0" w:line="240" w:lineRule="auto"/>
            </w:pPr>
            <w:r>
              <w:t>性能需求</w:t>
            </w:r>
          </w:p>
        </w:tc>
        <w:tc>
          <w:tcPr>
            <w:tcW w:w="4320" w:type="dxa"/>
          </w:tcPr>
          <w:p w14:paraId="727271B0">
            <w:pPr>
              <w:spacing w:after="0" w:line="240" w:lineRule="auto"/>
            </w:pPr>
            <w:r>
              <w:t>任务分配计算≤5秒；支持5台无人车；重分配≤3秒</w:t>
            </w:r>
          </w:p>
        </w:tc>
      </w:tr>
    </w:tbl>
    <w:p w14:paraId="017FDCE7">
      <w:pPr>
        <w:pStyle w:val="3"/>
        <w:rPr>
          <w:sz w:val="24"/>
          <w:szCs w:val="24"/>
        </w:rPr>
      </w:pPr>
      <w:r>
        <w:rPr>
          <w:sz w:val="24"/>
          <w:szCs w:val="24"/>
        </w:rPr>
        <w:t>UC-002 规划全局路径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64"/>
      </w:tblGrid>
      <w:tr w14:paraId="3F62B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F5AEE1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320" w:type="dxa"/>
          </w:tcPr>
          <w:p w14:paraId="00AA3F0C">
            <w:pPr>
              <w:spacing w:after="0" w:line="240" w:lineRule="auto"/>
            </w:pPr>
            <w:r>
              <w:t>UC-002</w:t>
            </w:r>
          </w:p>
        </w:tc>
      </w:tr>
      <w:tr w14:paraId="7D6A7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8FF2F6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320" w:type="dxa"/>
          </w:tcPr>
          <w:p w14:paraId="6579410F">
            <w:pPr>
              <w:spacing w:after="0" w:line="240" w:lineRule="auto"/>
            </w:pPr>
            <w:r>
              <w:t>规划全局路径</w:t>
            </w:r>
          </w:p>
        </w:tc>
      </w:tr>
      <w:tr w14:paraId="2BCEA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7246FD">
            <w:pPr>
              <w:spacing w:after="0" w:line="240" w:lineRule="auto"/>
            </w:pPr>
            <w:r>
              <w:t>行为者</w:t>
            </w:r>
          </w:p>
        </w:tc>
        <w:tc>
          <w:tcPr>
            <w:tcW w:w="4320" w:type="dxa"/>
          </w:tcPr>
          <w:p w14:paraId="4DA3B8E0">
            <w:pPr>
              <w:spacing w:after="0" w:line="240" w:lineRule="auto"/>
            </w:pPr>
            <w:r>
              <w:t>无人车系统、定位系统、环境传感器</w:t>
            </w:r>
          </w:p>
        </w:tc>
      </w:tr>
      <w:tr w14:paraId="77C99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105E59">
            <w:pPr>
              <w:spacing w:after="0" w:line="240" w:lineRule="auto"/>
            </w:pPr>
            <w:r>
              <w:t>用例类型</w:t>
            </w:r>
          </w:p>
        </w:tc>
        <w:tc>
          <w:tcPr>
            <w:tcW w:w="4320" w:type="dxa"/>
          </w:tcPr>
          <w:p w14:paraId="6ECAC1C3">
            <w:pPr>
              <w:spacing w:after="0" w:line="240" w:lineRule="auto"/>
            </w:pPr>
            <w:r>
              <w:t>核心功能用例</w:t>
            </w:r>
          </w:p>
        </w:tc>
      </w:tr>
      <w:tr w14:paraId="27484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A15093">
            <w:pPr>
              <w:spacing w:after="0" w:line="240" w:lineRule="auto"/>
            </w:pPr>
            <w:r>
              <w:t>用例描述</w:t>
            </w:r>
          </w:p>
        </w:tc>
        <w:tc>
          <w:tcPr>
            <w:tcW w:w="4320" w:type="dxa"/>
          </w:tcPr>
          <w:p w14:paraId="13923911">
            <w:pPr>
              <w:spacing w:after="0" w:line="240" w:lineRule="auto"/>
            </w:pPr>
            <w:r>
              <w:t>基于果园数字地图和实时环境信息，为无人车规划从当前位置到目标采摘点的最优全局路径。</w:t>
            </w:r>
          </w:p>
        </w:tc>
      </w:tr>
      <w:tr w14:paraId="0C50F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233670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320" w:type="dxa"/>
          </w:tcPr>
          <w:p w14:paraId="00166FBF">
            <w:pPr>
              <w:spacing w:after="0" w:line="240" w:lineRule="auto"/>
            </w:pPr>
            <w:r>
              <w:t>果园数字地图已加载；无人车当前位置已确定；目标采摘点坐标已知；环境感知数据可用</w:t>
            </w:r>
          </w:p>
        </w:tc>
      </w:tr>
      <w:tr w14:paraId="10506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D56069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320" w:type="dxa"/>
          </w:tcPr>
          <w:p w14:paraId="7C209258">
            <w:pPr>
              <w:spacing w:after="0" w:line="240" w:lineRule="auto"/>
            </w:pPr>
            <w:r>
              <w:t>生成符合约束条件的最优路径；路径已传输给无人车导航系统；路径规划结果已记录</w:t>
            </w:r>
          </w:p>
        </w:tc>
      </w:tr>
      <w:tr w14:paraId="0DA6C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8F146D">
            <w:pPr>
              <w:spacing w:after="0" w:line="240" w:lineRule="auto"/>
            </w:pPr>
            <w:r>
              <w:t>基本流程</w:t>
            </w:r>
          </w:p>
        </w:tc>
        <w:tc>
          <w:tcPr>
            <w:tcW w:w="4320" w:type="dxa"/>
          </w:tcPr>
          <w:p w14:paraId="35E2D21C">
            <w:pPr>
              <w:spacing w:after="0" w:line="240" w:lineRule="auto"/>
            </w:pPr>
            <w:r>
              <w:t>1. 获取无人车位置</w:t>
            </w:r>
            <w:r>
              <w:br w:type="textWrapping"/>
            </w:r>
            <w:r>
              <w:t>2. 提取采摘点坐标</w:t>
            </w:r>
            <w:r>
              <w:br w:type="textWrapping"/>
            </w:r>
            <w:r>
              <w:t>3. 加载果园地图</w:t>
            </w:r>
            <w:r>
              <w:br w:type="textWrapping"/>
            </w:r>
            <w:r>
              <w:t>4. 融合环境感知数据</w:t>
            </w:r>
            <w:r>
              <w:br w:type="textWrapping"/>
            </w:r>
            <w:r>
              <w:t>5. A*算法计算路径</w:t>
            </w:r>
            <w:r>
              <w:br w:type="textWrapping"/>
            </w:r>
            <w:r>
              <w:t>6. 评估可行性</w:t>
            </w:r>
            <w:r>
              <w:br w:type="textWrapping"/>
            </w:r>
            <w:r>
              <w:t>7. 选择最优路径</w:t>
            </w:r>
            <w:r>
              <w:br w:type="textWrapping"/>
            </w:r>
            <w:r>
              <w:t>8. 发送路径</w:t>
            </w:r>
          </w:p>
        </w:tc>
      </w:tr>
      <w:tr w14:paraId="4B0F5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1F085E">
            <w:pPr>
              <w:spacing w:after="0" w:line="240" w:lineRule="auto"/>
            </w:pPr>
            <w:r>
              <w:t>扩展流程</w:t>
            </w:r>
          </w:p>
        </w:tc>
        <w:tc>
          <w:tcPr>
            <w:tcW w:w="4320" w:type="dxa"/>
          </w:tcPr>
          <w:p w14:paraId="32A9E7B1">
            <w:pPr>
              <w:spacing w:after="0" w:line="240" w:lineRule="auto"/>
            </w:pPr>
            <w:r>
              <w:t>4a. 发现新障碍物 → 更新并重算</w:t>
            </w:r>
            <w:r>
              <w:br w:type="textWrapping"/>
            </w:r>
            <w:r>
              <w:t>6a. 路径不满足约束 → 调整参数重算</w:t>
            </w:r>
          </w:p>
        </w:tc>
      </w:tr>
      <w:tr w14:paraId="4CADC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17B494">
            <w:pPr>
              <w:spacing w:after="0" w:line="240" w:lineRule="auto"/>
            </w:pPr>
            <w:r>
              <w:t>异常流程</w:t>
            </w:r>
          </w:p>
        </w:tc>
        <w:tc>
          <w:tcPr>
            <w:tcW w:w="4320" w:type="dxa"/>
          </w:tcPr>
          <w:p w14:paraId="529ACD0D">
            <w:pPr>
              <w:spacing w:after="0" w:line="240" w:lineRule="auto"/>
            </w:pPr>
            <w:r>
              <w:t>E1. 无可行路径 → 标记不可达并通知操作员</w:t>
            </w:r>
            <w:r>
              <w:br w:type="textWrapping"/>
            </w:r>
            <w:r>
              <w:t>E2. 定位精度不足 → 切换到视觉SLAM</w:t>
            </w:r>
          </w:p>
        </w:tc>
      </w:tr>
      <w:tr w14:paraId="50107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10245C">
            <w:pPr>
              <w:spacing w:after="0" w:line="240" w:lineRule="auto"/>
            </w:pPr>
            <w:r>
              <w:t>性能需求</w:t>
            </w:r>
          </w:p>
        </w:tc>
        <w:tc>
          <w:tcPr>
            <w:tcW w:w="4320" w:type="dxa"/>
          </w:tcPr>
          <w:p w14:paraId="232EF287">
            <w:pPr>
              <w:spacing w:after="0" w:line="240" w:lineRule="auto"/>
            </w:pPr>
            <w:r>
              <w:t>规划时间≤2秒；精度误差≤10厘米；支持实时重规划</w:t>
            </w:r>
          </w:p>
        </w:tc>
      </w:tr>
    </w:tbl>
    <w:p w14:paraId="1E24AB3C">
      <w:pPr>
        <w:pStyle w:val="3"/>
        <w:rPr>
          <w:sz w:val="24"/>
          <w:szCs w:val="24"/>
        </w:rPr>
      </w:pPr>
      <w:r>
        <w:rPr>
          <w:sz w:val="24"/>
          <w:szCs w:val="24"/>
        </w:rPr>
        <w:t>UC-003 控制机械臂采摘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7"/>
        <w:gridCol w:w="4265"/>
      </w:tblGrid>
      <w:tr w14:paraId="267A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76F189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320" w:type="dxa"/>
          </w:tcPr>
          <w:p w14:paraId="10E2381E">
            <w:pPr>
              <w:spacing w:after="0" w:line="240" w:lineRule="auto"/>
            </w:pPr>
            <w:r>
              <w:t>UC-003</w:t>
            </w:r>
          </w:p>
        </w:tc>
      </w:tr>
      <w:tr w14:paraId="0F0BD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648033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320" w:type="dxa"/>
          </w:tcPr>
          <w:p w14:paraId="1300E02B">
            <w:pPr>
              <w:spacing w:after="0" w:line="240" w:lineRule="auto"/>
            </w:pPr>
            <w:r>
              <w:t>控制机械臂采摘</w:t>
            </w:r>
          </w:p>
        </w:tc>
      </w:tr>
      <w:tr w14:paraId="449D4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C0C78E">
            <w:pPr>
              <w:spacing w:after="0" w:line="240" w:lineRule="auto"/>
            </w:pPr>
            <w:r>
              <w:t>行为者</w:t>
            </w:r>
          </w:p>
        </w:tc>
        <w:tc>
          <w:tcPr>
            <w:tcW w:w="4320" w:type="dxa"/>
          </w:tcPr>
          <w:p w14:paraId="269E896D">
            <w:pPr>
              <w:spacing w:after="0" w:line="240" w:lineRule="auto"/>
            </w:pPr>
            <w:r>
              <w:t>无人车系统、环境传感器</w:t>
            </w:r>
          </w:p>
        </w:tc>
      </w:tr>
      <w:tr w14:paraId="0C888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21E72C">
            <w:pPr>
              <w:spacing w:after="0" w:line="240" w:lineRule="auto"/>
            </w:pPr>
            <w:r>
              <w:t>用例类型</w:t>
            </w:r>
          </w:p>
        </w:tc>
        <w:tc>
          <w:tcPr>
            <w:tcW w:w="4320" w:type="dxa"/>
          </w:tcPr>
          <w:p w14:paraId="270702F3">
            <w:pPr>
              <w:spacing w:after="0" w:line="240" w:lineRule="auto"/>
            </w:pPr>
            <w:r>
              <w:t>核心执行用例</w:t>
            </w:r>
          </w:p>
        </w:tc>
      </w:tr>
      <w:tr w14:paraId="7EDEB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3BEC87">
            <w:pPr>
              <w:spacing w:after="0" w:line="240" w:lineRule="auto"/>
            </w:pPr>
            <w:r>
              <w:t>用例描述</w:t>
            </w:r>
          </w:p>
        </w:tc>
        <w:tc>
          <w:tcPr>
            <w:tcW w:w="4320" w:type="dxa"/>
          </w:tcPr>
          <w:p w14:paraId="42D4FAD4">
            <w:pPr>
              <w:spacing w:after="0" w:line="240" w:lineRule="auto"/>
            </w:pPr>
            <w:r>
              <w:t>基于视觉识别结果，控制机械臂执行精确的柑橘采摘动作，包括定位、抓取、分离和收集。</w:t>
            </w:r>
          </w:p>
        </w:tc>
      </w:tr>
      <w:tr w14:paraId="143C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7AB126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320" w:type="dxa"/>
          </w:tcPr>
          <w:p w14:paraId="3BACB523">
            <w:pPr>
              <w:spacing w:after="0" w:line="240" w:lineRule="auto"/>
            </w:pPr>
            <w:r>
              <w:t>无人车已到达采摘位置；机械臂就绪；目标三维坐标已确定；视觉系统正常</w:t>
            </w:r>
          </w:p>
        </w:tc>
      </w:tr>
      <w:tr w14:paraId="1B2E7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A76ADC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320" w:type="dxa"/>
          </w:tcPr>
          <w:p w14:paraId="2D59EF29">
            <w:pPr>
              <w:spacing w:after="0" w:line="240" w:lineRule="auto"/>
            </w:pPr>
            <w:r>
              <w:t>成功采摘；果实放入容器；机械臂复位；结果已记录</w:t>
            </w:r>
          </w:p>
        </w:tc>
      </w:tr>
      <w:tr w14:paraId="6BB3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F8B4C7">
            <w:pPr>
              <w:spacing w:after="0" w:line="240" w:lineRule="auto"/>
            </w:pPr>
            <w:r>
              <w:t>基本流程</w:t>
            </w:r>
          </w:p>
        </w:tc>
        <w:tc>
          <w:tcPr>
            <w:tcW w:w="4320" w:type="dxa"/>
          </w:tcPr>
          <w:p w14:paraId="2C0AF487">
            <w:pPr>
              <w:spacing w:after="0" w:line="240" w:lineRule="auto"/>
            </w:pPr>
            <w:r>
              <w:t>1. 接收目标坐标</w:t>
            </w:r>
            <w:r>
              <w:br w:type="textWrapping"/>
            </w:r>
            <w:r>
              <w:t>2. 精确视觉定位</w:t>
            </w:r>
            <w:r>
              <w:br w:type="textWrapping"/>
            </w:r>
            <w:r>
              <w:t>3. 逆运动学规划轨迹</w:t>
            </w:r>
            <w:r>
              <w:br w:type="textWrapping"/>
            </w:r>
            <w:r>
              <w:t>4. 检查碰撞</w:t>
            </w:r>
            <w:r>
              <w:br w:type="textWrapping"/>
            </w:r>
            <w:r>
              <w:t>5. 视觉伺服控制</w:t>
            </w:r>
            <w:r>
              <w:br w:type="textWrapping"/>
            </w:r>
            <w:r>
              <w:t>6. 抓取动作</w:t>
            </w:r>
            <w:r>
              <w:br w:type="textWrapping"/>
            </w:r>
            <w:r>
              <w:t>7. 抓取成功检测</w:t>
            </w:r>
            <w:r>
              <w:br w:type="textWrapping"/>
            </w:r>
            <w:r>
              <w:t>8. 分离动作</w:t>
            </w:r>
            <w:r>
              <w:br w:type="textWrapping"/>
            </w:r>
            <w:r>
              <w:t>9. 放入容器</w:t>
            </w:r>
            <w:r>
              <w:br w:type="textWrapping"/>
            </w:r>
            <w:r>
              <w:t>10. 复位</w:t>
            </w:r>
          </w:p>
        </w:tc>
      </w:tr>
      <w:tr w14:paraId="733B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B98C6C">
            <w:pPr>
              <w:spacing w:after="0" w:line="240" w:lineRule="auto"/>
            </w:pPr>
            <w:r>
              <w:t>扩展流程</w:t>
            </w:r>
          </w:p>
        </w:tc>
        <w:tc>
          <w:tcPr>
            <w:tcW w:w="4320" w:type="dxa"/>
          </w:tcPr>
          <w:p w14:paraId="0D1875F1">
            <w:pPr>
              <w:spacing w:after="0" w:line="240" w:lineRule="auto"/>
            </w:pPr>
            <w:r>
              <w:t>4a. 碰撞风险 → 重新规划或跳过</w:t>
            </w:r>
            <w:r>
              <w:br w:type="textWrapping"/>
            </w:r>
            <w:r>
              <w:t>7a. 抓取失败 → 调整重试</w:t>
            </w:r>
            <w:r>
              <w:br w:type="textWrapping"/>
            </w:r>
            <w:r>
              <w:t>8a. 分离困难 → 调整力度或切割</w:t>
            </w:r>
          </w:p>
        </w:tc>
      </w:tr>
      <w:tr w14:paraId="796A6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F3126D">
            <w:pPr>
              <w:spacing w:after="0" w:line="240" w:lineRule="auto"/>
            </w:pPr>
            <w:r>
              <w:t>异常流程</w:t>
            </w:r>
          </w:p>
        </w:tc>
        <w:tc>
          <w:tcPr>
            <w:tcW w:w="4320" w:type="dxa"/>
          </w:tcPr>
          <w:p w14:paraId="0A7F51F7">
            <w:pPr>
              <w:spacing w:after="0" w:line="240" w:lineRule="auto"/>
            </w:pPr>
            <w:r>
              <w:t>E1. 定位失败 → 启用辅助照明</w:t>
            </w:r>
            <w:r>
              <w:br w:type="textWrapping"/>
            </w:r>
            <w:r>
              <w:t>E2. 机械臂故障 → 停止采摘并回安全位</w:t>
            </w:r>
          </w:p>
        </w:tc>
      </w:tr>
      <w:tr w14:paraId="135E1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399361">
            <w:pPr>
              <w:spacing w:after="0" w:line="240" w:lineRule="auto"/>
            </w:pPr>
            <w:r>
              <w:t>性能需求</w:t>
            </w:r>
          </w:p>
        </w:tc>
        <w:tc>
          <w:tcPr>
            <w:tcW w:w="4320" w:type="dxa"/>
          </w:tcPr>
          <w:p w14:paraId="17D6D268">
            <w:pPr>
              <w:spacing w:after="0" w:line="240" w:lineRule="auto"/>
            </w:pPr>
            <w:r>
              <w:t>采摘≤30秒；成功率≥90%；精度≤2厘米；损伤率≤5%</w:t>
            </w:r>
          </w:p>
        </w:tc>
      </w:tr>
    </w:tbl>
    <w:p w14:paraId="20D1A2A6">
      <w:pPr>
        <w:pStyle w:val="3"/>
        <w:rPr>
          <w:sz w:val="24"/>
          <w:szCs w:val="24"/>
        </w:rPr>
      </w:pPr>
      <w:r>
        <w:rPr>
          <w:sz w:val="24"/>
          <w:szCs w:val="24"/>
        </w:rPr>
        <w:t>UC-004 处理系统故障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64"/>
      </w:tblGrid>
      <w:tr w14:paraId="4F657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75BA4C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320" w:type="dxa"/>
          </w:tcPr>
          <w:p w14:paraId="610D9FAE">
            <w:pPr>
              <w:spacing w:after="0" w:line="240" w:lineRule="auto"/>
            </w:pPr>
            <w:r>
              <w:t>UC-004</w:t>
            </w:r>
          </w:p>
        </w:tc>
      </w:tr>
      <w:tr w14:paraId="1AC41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0DE2FD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320" w:type="dxa"/>
          </w:tcPr>
          <w:p w14:paraId="33E4FBEF">
            <w:pPr>
              <w:spacing w:after="0" w:line="240" w:lineRule="auto"/>
            </w:pPr>
            <w:r>
              <w:t>处理系统故障</w:t>
            </w:r>
          </w:p>
        </w:tc>
      </w:tr>
      <w:tr w14:paraId="6185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10B3A1">
            <w:pPr>
              <w:spacing w:after="0" w:line="240" w:lineRule="auto"/>
            </w:pPr>
            <w:r>
              <w:t>行为者</w:t>
            </w:r>
          </w:p>
        </w:tc>
        <w:tc>
          <w:tcPr>
            <w:tcW w:w="4320" w:type="dxa"/>
          </w:tcPr>
          <w:p w14:paraId="793C6B5E">
            <w:pPr>
              <w:spacing w:after="0" w:line="240" w:lineRule="auto"/>
            </w:pPr>
            <w:r>
              <w:t>操作员、外部系统</w:t>
            </w:r>
          </w:p>
        </w:tc>
      </w:tr>
      <w:tr w14:paraId="1636C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56B093B">
            <w:pPr>
              <w:spacing w:after="0" w:line="240" w:lineRule="auto"/>
            </w:pPr>
            <w:r>
              <w:t>用例类型</w:t>
            </w:r>
          </w:p>
        </w:tc>
        <w:tc>
          <w:tcPr>
            <w:tcW w:w="4320" w:type="dxa"/>
          </w:tcPr>
          <w:p w14:paraId="6116C1C6">
            <w:pPr>
              <w:spacing w:after="0" w:line="240" w:lineRule="auto"/>
            </w:pPr>
            <w:r>
              <w:t>安全管理用例</w:t>
            </w:r>
          </w:p>
        </w:tc>
      </w:tr>
      <w:tr w14:paraId="32CB9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DA1D05">
            <w:pPr>
              <w:spacing w:after="0" w:line="240" w:lineRule="auto"/>
            </w:pPr>
            <w:r>
              <w:t>用例描述</w:t>
            </w:r>
          </w:p>
        </w:tc>
        <w:tc>
          <w:tcPr>
            <w:tcW w:w="4320" w:type="dxa"/>
          </w:tcPr>
          <w:p w14:paraId="35B7C7B5">
            <w:pPr>
              <w:spacing w:after="0" w:line="240" w:lineRule="auto"/>
            </w:pPr>
            <w:r>
              <w:t>实时监控系统运行状态，检测、诊断和处理各种系统故障，确保作业安全和系统稳定性。</w:t>
            </w:r>
          </w:p>
        </w:tc>
      </w:tr>
      <w:tr w14:paraId="55FC0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68EEF7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320" w:type="dxa"/>
          </w:tcPr>
          <w:p w14:paraId="05A5189A">
            <w:pPr>
              <w:spacing w:after="0" w:line="240" w:lineRule="auto"/>
            </w:pPr>
            <w:r>
              <w:t>故障检测机制启用；预案已配置；通信正常</w:t>
            </w:r>
          </w:p>
        </w:tc>
      </w:tr>
      <w:tr w14:paraId="68815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E90A09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320" w:type="dxa"/>
          </w:tcPr>
          <w:p w14:paraId="16095993">
            <w:pPr>
              <w:spacing w:after="0" w:line="240" w:lineRule="auto"/>
            </w:pPr>
            <w:r>
              <w:t>故障诊断完成；处理措施已执行；信息已记录；系统恢复或安全停机</w:t>
            </w:r>
          </w:p>
        </w:tc>
      </w:tr>
      <w:tr w14:paraId="774C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1B175A">
            <w:pPr>
              <w:spacing w:after="0" w:line="240" w:lineRule="auto"/>
            </w:pPr>
            <w:r>
              <w:t>基本流程</w:t>
            </w:r>
          </w:p>
        </w:tc>
        <w:tc>
          <w:tcPr>
            <w:tcW w:w="4320" w:type="dxa"/>
          </w:tcPr>
          <w:p w14:paraId="2124C918">
            <w:pPr>
              <w:spacing w:after="0" w:line="240" w:lineRule="auto"/>
            </w:pPr>
            <w:r>
              <w:t>1. 监控参数</w:t>
            </w:r>
            <w:r>
              <w:br w:type="textWrapping"/>
            </w:r>
            <w:r>
              <w:t>2. 检测异常</w:t>
            </w:r>
            <w:r>
              <w:br w:type="textWrapping"/>
            </w:r>
            <w:r>
              <w:t>3. 自动诊断</w:t>
            </w:r>
            <w:r>
              <w:br w:type="textWrapping"/>
            </w:r>
            <w:r>
              <w:t>4. 查询知识库</w:t>
            </w:r>
            <w:r>
              <w:br w:type="textWrapping"/>
            </w:r>
            <w:r>
              <w:t>5. 执行处理程序</w:t>
            </w:r>
            <w:r>
              <w:br w:type="textWrapping"/>
            </w:r>
            <w:r>
              <w:t>6. 评估效果</w:t>
            </w:r>
            <w:r>
              <w:br w:type="textWrapping"/>
            </w:r>
            <w:r>
              <w:t>7. 记录信息</w:t>
            </w:r>
            <w:r>
              <w:br w:type="textWrapping"/>
            </w:r>
            <w:r>
              <w:t>8. 通知操作员</w:t>
            </w:r>
          </w:p>
        </w:tc>
      </w:tr>
      <w:tr w14:paraId="0710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8FBCB5">
            <w:pPr>
              <w:spacing w:after="0" w:line="240" w:lineRule="auto"/>
            </w:pPr>
            <w:r>
              <w:t>扩展流程</w:t>
            </w:r>
          </w:p>
        </w:tc>
        <w:tc>
          <w:tcPr>
            <w:tcW w:w="4320" w:type="dxa"/>
          </w:tcPr>
          <w:p w14:paraId="2B80E6E7">
            <w:pPr>
              <w:spacing w:after="0" w:line="240" w:lineRule="auto"/>
            </w:pPr>
            <w:r>
              <w:t>3a. 未知故障 → 收集信息并通知操作员</w:t>
            </w:r>
            <w:r>
              <w:br w:type="textWrapping"/>
            </w:r>
            <w:r>
              <w:t>5a. 自动处理失败 → 升级为应急处理</w:t>
            </w:r>
          </w:p>
        </w:tc>
      </w:tr>
      <w:tr w14:paraId="4E79E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A2BD21">
            <w:pPr>
              <w:spacing w:after="0" w:line="240" w:lineRule="auto"/>
            </w:pPr>
            <w:r>
              <w:t>异常流程</w:t>
            </w:r>
          </w:p>
        </w:tc>
        <w:tc>
          <w:tcPr>
            <w:tcW w:w="4320" w:type="dxa"/>
          </w:tcPr>
          <w:p w14:paraId="7336936B">
            <w:pPr>
              <w:spacing w:after="0" w:line="240" w:lineRule="auto"/>
            </w:pPr>
            <w:r>
              <w:t>E1. 严重故障 → 紧急停机、设备停止、通知操作员</w:t>
            </w:r>
          </w:p>
        </w:tc>
      </w:tr>
      <w:tr w14:paraId="2F379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FD5651">
            <w:pPr>
              <w:spacing w:after="0" w:line="240" w:lineRule="auto"/>
            </w:pPr>
            <w:r>
              <w:t>性能需求</w:t>
            </w:r>
          </w:p>
        </w:tc>
        <w:tc>
          <w:tcPr>
            <w:tcW w:w="4320" w:type="dxa"/>
          </w:tcPr>
          <w:p w14:paraId="26F6668C">
            <w:pPr>
              <w:spacing w:after="0" w:line="240" w:lineRule="auto"/>
            </w:pPr>
            <w:r>
              <w:t>检测响应≤1秒；恢复≤30秒；检测准确率≥95%</w:t>
            </w:r>
          </w:p>
        </w:tc>
      </w:tr>
    </w:tbl>
    <w:p w14:paraId="7634CDA7">
      <w:pPr>
        <w:pStyle w:val="3"/>
        <w:rPr>
          <w:sz w:val="24"/>
          <w:szCs w:val="24"/>
        </w:rPr>
      </w:pPr>
      <w:r>
        <w:rPr>
          <w:sz w:val="24"/>
          <w:szCs w:val="24"/>
        </w:rPr>
        <w:t>UC-005 融合多源数据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5"/>
        <w:gridCol w:w="4267"/>
      </w:tblGrid>
      <w:tr w14:paraId="41DBB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C5E564">
            <w:pPr>
              <w:spacing w:after="0" w:line="240" w:lineRule="auto"/>
            </w:pPr>
            <w:r>
              <w:t>用例编号</w:t>
            </w:r>
          </w:p>
        </w:tc>
        <w:tc>
          <w:tcPr>
            <w:tcW w:w="4320" w:type="dxa"/>
          </w:tcPr>
          <w:p w14:paraId="546E6760">
            <w:pPr>
              <w:spacing w:after="0" w:line="240" w:lineRule="auto"/>
            </w:pPr>
            <w:r>
              <w:t>UC-005</w:t>
            </w:r>
          </w:p>
        </w:tc>
      </w:tr>
      <w:tr w14:paraId="59492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E77921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320" w:type="dxa"/>
          </w:tcPr>
          <w:p w14:paraId="06391C05">
            <w:pPr>
              <w:spacing w:after="0" w:line="240" w:lineRule="auto"/>
            </w:pPr>
            <w:r>
              <w:t>融合多源数据</w:t>
            </w:r>
          </w:p>
        </w:tc>
      </w:tr>
      <w:tr w14:paraId="2445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DF44E9">
            <w:pPr>
              <w:spacing w:after="0" w:line="240" w:lineRule="auto"/>
            </w:pPr>
            <w:r>
              <w:t>行为者</w:t>
            </w:r>
          </w:p>
        </w:tc>
        <w:tc>
          <w:tcPr>
            <w:tcW w:w="4320" w:type="dxa"/>
          </w:tcPr>
          <w:p w14:paraId="25CD3E29">
            <w:pPr>
              <w:spacing w:after="0" w:line="240" w:lineRule="auto"/>
            </w:pPr>
            <w:r>
              <w:t>无人机系统、无人车系统、环境传感器、定位系统</w:t>
            </w:r>
          </w:p>
        </w:tc>
      </w:tr>
      <w:tr w14:paraId="4D6D5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0174BF">
            <w:pPr>
              <w:spacing w:after="0" w:line="240" w:lineRule="auto"/>
            </w:pPr>
            <w:r>
              <w:t>用例类型</w:t>
            </w:r>
          </w:p>
        </w:tc>
        <w:tc>
          <w:tcPr>
            <w:tcW w:w="4320" w:type="dxa"/>
          </w:tcPr>
          <w:p w14:paraId="44F3401B">
            <w:pPr>
              <w:spacing w:after="0" w:line="240" w:lineRule="auto"/>
            </w:pPr>
            <w:r>
              <w:t>基础数据处理用例</w:t>
            </w:r>
          </w:p>
        </w:tc>
      </w:tr>
      <w:tr w14:paraId="0F01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82B4DD">
            <w:pPr>
              <w:spacing w:after="0" w:line="240" w:lineRule="auto"/>
            </w:pPr>
            <w:r>
              <w:t>用例描述</w:t>
            </w:r>
          </w:p>
        </w:tc>
        <w:tc>
          <w:tcPr>
            <w:tcW w:w="4320" w:type="dxa"/>
          </w:tcPr>
          <w:p w14:paraId="1E6C9225">
            <w:pPr>
              <w:spacing w:after="0" w:line="240" w:lineRule="auto"/>
            </w:pPr>
            <w:r>
              <w:t>实时接收、处理和融合来自不同传感器的异构数据，为上层决策提供统一、准确的数据基础。</w:t>
            </w:r>
          </w:p>
        </w:tc>
      </w:tr>
      <w:tr w14:paraId="1F715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2283FE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320" w:type="dxa"/>
          </w:tcPr>
          <w:p w14:paraId="44A9A5DB">
            <w:pPr>
              <w:spacing w:after="0" w:line="240" w:lineRule="auto"/>
            </w:pPr>
            <w:r>
              <w:t>传感器正常；通信稳定；算法已初始化</w:t>
            </w:r>
          </w:p>
        </w:tc>
      </w:tr>
      <w:tr w14:paraId="3D439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815617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320" w:type="dxa"/>
          </w:tcPr>
          <w:p w14:paraId="60112562">
            <w:pPr>
              <w:spacing w:after="0" w:line="240" w:lineRule="auto"/>
            </w:pPr>
            <w:r>
              <w:t>多源数据融合成功；生成统一环境模型；数据质量达标</w:t>
            </w:r>
          </w:p>
        </w:tc>
      </w:tr>
      <w:tr w14:paraId="24906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4610DC">
            <w:pPr>
              <w:spacing w:after="0" w:line="240" w:lineRule="auto"/>
            </w:pPr>
            <w:r>
              <w:t>基本流程</w:t>
            </w:r>
          </w:p>
        </w:tc>
        <w:tc>
          <w:tcPr>
            <w:tcW w:w="4320" w:type="dxa"/>
          </w:tcPr>
          <w:p w14:paraId="27187135">
            <w:pPr>
              <w:spacing w:after="0" w:line="240" w:lineRule="auto"/>
            </w:pPr>
            <w:r>
              <w:t>1. 接收数据</w:t>
            </w:r>
            <w:r>
              <w:br w:type="textWrapping"/>
            </w:r>
            <w:r>
              <w:t>2. 预处理</w:t>
            </w:r>
            <w:r>
              <w:br w:type="textWrapping"/>
            </w:r>
            <w:r>
              <w:t>3. 验证有效性</w:t>
            </w:r>
            <w:r>
              <w:br w:type="textWrapping"/>
            </w:r>
            <w:r>
              <w:t>4. 融合算法</w:t>
            </w:r>
            <w:r>
              <w:br w:type="textWrapping"/>
            </w:r>
            <w:r>
              <w:t>5. 环境估计</w:t>
            </w:r>
            <w:r>
              <w:br w:type="textWrapping"/>
            </w:r>
            <w:r>
              <w:t>6. 更新模型</w:t>
            </w:r>
            <w:r>
              <w:br w:type="textWrapping"/>
            </w:r>
            <w:r>
              <w:t>7. 提供数据</w:t>
            </w:r>
          </w:p>
        </w:tc>
      </w:tr>
      <w:tr w14:paraId="67B3B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6B2237">
            <w:pPr>
              <w:spacing w:after="0" w:line="240" w:lineRule="auto"/>
            </w:pPr>
            <w:r>
              <w:t>扩展流程</w:t>
            </w:r>
          </w:p>
        </w:tc>
        <w:tc>
          <w:tcPr>
            <w:tcW w:w="4320" w:type="dxa"/>
          </w:tcPr>
          <w:p w14:paraId="363EF53E">
            <w:pPr>
              <w:spacing w:after="0" w:line="240" w:lineRule="auto"/>
            </w:pPr>
            <w:r>
              <w:t>3a. 数据异常 → 降低权重或请求重采集</w:t>
            </w:r>
          </w:p>
        </w:tc>
      </w:tr>
      <w:tr w14:paraId="1B5CA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CFA0F6">
            <w:pPr>
              <w:spacing w:after="0" w:line="240" w:lineRule="auto"/>
            </w:pPr>
            <w:r>
              <w:t>异常流程</w:t>
            </w:r>
          </w:p>
        </w:tc>
        <w:tc>
          <w:tcPr>
            <w:tcW w:w="4320" w:type="dxa"/>
          </w:tcPr>
          <w:p w14:paraId="25AB4E6B">
            <w:pPr>
              <w:spacing w:after="0" w:line="240" w:lineRule="auto"/>
            </w:pPr>
          </w:p>
        </w:tc>
      </w:tr>
      <w:tr w14:paraId="0FCE4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B1FC81">
            <w:pPr>
              <w:spacing w:after="0" w:line="240" w:lineRule="auto"/>
            </w:pPr>
            <w:r>
              <w:t>性能需求</w:t>
            </w:r>
          </w:p>
        </w:tc>
        <w:tc>
          <w:tcPr>
            <w:tcW w:w="4320" w:type="dxa"/>
          </w:tcPr>
          <w:p w14:paraId="2A8BCDD1">
            <w:pPr>
              <w:spacing w:after="0" w:line="240" w:lineRule="auto"/>
            </w:pPr>
            <w:r>
              <w:t>延迟≤200ms；频率≥20Hz；支持≥10个数据源</w:t>
            </w:r>
          </w:p>
        </w:tc>
      </w:tr>
    </w:tbl>
    <w:p w14:paraId="12EDD64B">
      <w:pPr>
        <w:pStyle w:val="3"/>
        <w:rPr>
          <w:sz w:val="24"/>
          <w:szCs w:val="24"/>
        </w:rPr>
      </w:pPr>
      <w:r>
        <w:rPr>
          <w:sz w:val="24"/>
          <w:szCs w:val="24"/>
        </w:rPr>
        <w:t>其他用例简介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3"/>
      </w:tblGrid>
      <w:tr w14:paraId="65300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C67D33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320" w:type="dxa"/>
          </w:tcPr>
          <w:p w14:paraId="5DCC3E61">
            <w:pPr>
              <w:spacing w:after="0" w:line="240" w:lineRule="auto"/>
            </w:pPr>
            <w:r>
              <w:t>执行局部避障</w:t>
            </w:r>
          </w:p>
        </w:tc>
      </w:tr>
      <w:tr w14:paraId="0BBA8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A8EFF6">
            <w:pPr>
              <w:spacing w:after="0" w:line="240" w:lineRule="auto"/>
            </w:pPr>
            <w:r>
              <w:t>用例描述</w:t>
            </w:r>
          </w:p>
        </w:tc>
        <w:tc>
          <w:tcPr>
            <w:tcW w:w="4320" w:type="dxa"/>
          </w:tcPr>
          <w:p w14:paraId="17016A08">
            <w:pPr>
              <w:spacing w:after="0" w:line="240" w:lineRule="auto"/>
            </w:pPr>
            <w:r>
              <w:t>在全局路径基础上，实时检测和避免动态障碍物，确保无人车安全导航。</w:t>
            </w:r>
          </w:p>
        </w:tc>
      </w:tr>
    </w:tbl>
    <w:p w14:paraId="49FF9D51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3"/>
      </w:tblGrid>
      <w:tr w14:paraId="55802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A15A4F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320" w:type="dxa"/>
          </w:tcPr>
          <w:p w14:paraId="43230788">
            <w:pPr>
              <w:spacing w:after="0" w:line="240" w:lineRule="auto"/>
            </w:pPr>
            <w:r>
              <w:t>监控系统状态</w:t>
            </w:r>
          </w:p>
        </w:tc>
      </w:tr>
      <w:tr w14:paraId="4669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A7135A">
            <w:pPr>
              <w:spacing w:after="0" w:line="240" w:lineRule="auto"/>
            </w:pPr>
            <w:r>
              <w:t>用例描述</w:t>
            </w:r>
          </w:p>
        </w:tc>
        <w:tc>
          <w:tcPr>
            <w:tcW w:w="4320" w:type="dxa"/>
          </w:tcPr>
          <w:p w14:paraId="1A4F66C5">
            <w:pPr>
              <w:spacing w:after="0" w:line="240" w:lineRule="auto"/>
            </w:pPr>
            <w:r>
              <w:t>实时监控整个协同系统的运行参数，包括设备状态、任务进度、性能指标等。</w:t>
            </w:r>
          </w:p>
        </w:tc>
      </w:tr>
    </w:tbl>
    <w:p w14:paraId="35041D94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3"/>
      </w:tblGrid>
      <w:tr w14:paraId="7D9B1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0300E7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320" w:type="dxa"/>
          </w:tcPr>
          <w:p w14:paraId="505957E4">
            <w:pPr>
              <w:spacing w:after="0" w:line="240" w:lineRule="auto"/>
            </w:pPr>
            <w:r>
              <w:t>管理无线通信</w:t>
            </w:r>
          </w:p>
        </w:tc>
      </w:tr>
      <w:tr w14:paraId="7F80B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889FA7">
            <w:pPr>
              <w:spacing w:after="0" w:line="240" w:lineRule="auto"/>
            </w:pPr>
            <w:r>
              <w:t>用例描述</w:t>
            </w:r>
          </w:p>
        </w:tc>
        <w:tc>
          <w:tcPr>
            <w:tcW w:w="4320" w:type="dxa"/>
          </w:tcPr>
          <w:p w14:paraId="32CC82C7">
            <w:pPr>
              <w:spacing w:after="0" w:line="240" w:lineRule="auto"/>
            </w:pPr>
            <w:r>
              <w:t>维护与无人机、无人车的稳定通信连接，处理数据传输和协议转换。</w:t>
            </w:r>
          </w:p>
        </w:tc>
      </w:tr>
    </w:tbl>
    <w:p w14:paraId="6FA665F6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3"/>
      </w:tblGrid>
      <w:tr w14:paraId="229B9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841A43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320" w:type="dxa"/>
          </w:tcPr>
          <w:p w14:paraId="7A5077F3">
            <w:pPr>
              <w:spacing w:after="0" w:line="240" w:lineRule="auto"/>
            </w:pPr>
            <w:r>
              <w:t>检测碰撞风险</w:t>
            </w:r>
          </w:p>
        </w:tc>
      </w:tr>
      <w:tr w14:paraId="4C365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FBBBA5">
            <w:pPr>
              <w:spacing w:after="0" w:line="240" w:lineRule="auto"/>
            </w:pPr>
            <w:r>
              <w:t>用例描述</w:t>
            </w:r>
          </w:p>
        </w:tc>
        <w:tc>
          <w:tcPr>
            <w:tcW w:w="4320" w:type="dxa"/>
          </w:tcPr>
          <w:p w14:paraId="316C29AD">
            <w:pPr>
              <w:spacing w:after="0" w:line="240" w:lineRule="auto"/>
            </w:pPr>
            <w:r>
              <w:t>在机械臂操作过程中实时检测潜在碰撞，保护设备和作物安全。</w:t>
            </w:r>
          </w:p>
        </w:tc>
      </w:tr>
    </w:tbl>
    <w:p w14:paraId="7717D244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3"/>
      </w:tblGrid>
      <w:tr w14:paraId="7EAC5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846C516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320" w:type="dxa"/>
          </w:tcPr>
          <w:p w14:paraId="22CDFE37">
            <w:pPr>
              <w:spacing w:after="0" w:line="240" w:lineRule="auto"/>
            </w:pPr>
            <w:r>
              <w:t>处理数据接口</w:t>
            </w:r>
          </w:p>
        </w:tc>
      </w:tr>
      <w:tr w14:paraId="655B5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B66254">
            <w:pPr>
              <w:spacing w:after="0" w:line="240" w:lineRule="auto"/>
            </w:pPr>
            <w:r>
              <w:t>用例描述</w:t>
            </w:r>
          </w:p>
        </w:tc>
        <w:tc>
          <w:tcPr>
            <w:tcW w:w="4320" w:type="dxa"/>
          </w:tcPr>
          <w:p w14:paraId="5E823401">
            <w:pPr>
              <w:spacing w:after="0" w:line="240" w:lineRule="auto"/>
            </w:pPr>
            <w:r>
              <w:t>标准化各种数据接口格式，支持不同设备的数据交换和系统集成。</w:t>
            </w:r>
          </w:p>
        </w:tc>
      </w:tr>
    </w:tbl>
    <w:p w14:paraId="3DC429C9"/>
    <w:p w14:paraId="572CC2B8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A0F96"/>
    <w:rsid w:val="087A4EF6"/>
    <w:rsid w:val="1DC61F0D"/>
    <w:rsid w:val="210E5A5A"/>
    <w:rsid w:val="26D2312D"/>
    <w:rsid w:val="2C6A44EB"/>
    <w:rsid w:val="2CAD23A4"/>
    <w:rsid w:val="39180668"/>
    <w:rsid w:val="4AAA585F"/>
    <w:rsid w:val="4FDA0F96"/>
    <w:rsid w:val="55B03E00"/>
    <w:rsid w:val="6824201F"/>
    <w:rsid w:val="6F7018A2"/>
    <w:rsid w:val="7E3D0D87"/>
    <w:rsid w:val="7E91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8">
    <w:name w:val="Table Grid"/>
    <w:basedOn w:val="7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2695</Words>
  <Characters>2874</Characters>
  <Lines>0</Lines>
  <Paragraphs>0</Paragraphs>
  <TotalTime>2</TotalTime>
  <ScaleCrop>false</ScaleCrop>
  <LinksUpToDate>false</LinksUpToDate>
  <CharactersWithSpaces>2940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2025-09-18T08:33:00Z</dcterms:created>
  <dc:creator>WPS_1648341868</dc:creator>
  <cp:lastModifiedBy>WPS_1648341868</cp:lastModifiedBy>
  <dcterms:modified xsi:type="dcterms:W3CDTF">2025-09-25T07:13:01Z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1F5821A871A840A488DE6E119F180DE2_11</vt:lpwstr>
  </property>
  <property fmtid="{D5CDD505-2E9C-101B-9397-08002B2CF9AE}" pid="4" name="KSOTemplateDocerSaveRecord">
    <vt:lpwstr>eyJoZGlkIjoiY2Q0NWE5ZDIxOThjYjRiYjBhN2NkNTFhMTUxYzgyY2QiLCJ1c2VySWQiOiIxMzQ4MTk4OTc1In0=</vt:lpwstr>
  </property>
</Properties>
</file>