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CS-010 CF Grounding &amp; Electrical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CS-010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Carbon Fiber Grounding &amp; Electrical Bonding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2026-08-28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Tribal grounding knowledge from SN5 trials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issue, encodes the diffuser-validated method + the catch-can decision lesson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Engineering pass (CS-000 Rev C conventions). Figure 1 draws the diffuser recipe in plan: mesh sheets, the 25 mm overlap, the terminable tail, and the probe pattern that proves the part. One intensifier cut from §1. No rule changed.</w:t>
            </w:r>
          </w:p>
        </w:tc>
      </w:tr>
    </w:tbl>
    <w:p/>
    <w:p>
      <w:pPr>
        <w:pStyle w:val="Heading2"/>
      </w:pPr>
      <w:r>
        <w:t>1. Purpose</w:t>
      </w:r>
    </w:p>
    <w:p>
      <w:r>
        <w:t xml:space="preserve">EV rules want conductive parts near HV/chassis grounded (our SN5 working criterion: </w:t>
      </w:r>
      <w:r>
        <w:rPr>
          <w:b/>
        </w:rPr>
        <w:t>&lt;5 Ω to the grounding point</w:t>
      </w:r>
      <w:r>
        <w:t xml:space="preserve">). SN5 gave us both the success story and the cautionary tale. The </w:t>
      </w:r>
      <w:r>
        <w:rPr>
          <w:b/>
        </w:rPr>
        <w:t>diffuser</w:t>
      </w:r>
      <w:r>
        <w:t xml:space="preserve"> (target and method written down up front, copper mesh in the stack) validated at </w:t>
      </w:r>
      <w:r>
        <w:rPr>
          <w:b/>
        </w:rPr>
        <w:t>&lt;1 Ω continuous everywhere</w:t>
      </w:r>
      <w:r>
        <w:t xml:space="preserve"> (2026-06-21) and drew praise from the design judges at comp. The </w:t>
      </w:r>
      <w:r>
        <w:rPr>
          <w:b/>
        </w:rPr>
        <w:t>catch can</w:t>
      </w:r>
      <w:r>
        <w:t xml:space="preserve"> had no written criterion; its method was improvised for six months (Nov→May) and never hit target with CF wrapping, so we finally solved it by </w:t>
      </w:r>
      <w:r>
        <w:rPr>
          <w:i/>
        </w:rPr>
        <w:t>giving up on CF for that geometry</w:t>
      </w:r>
      <w:r>
        <w:t xml:space="preserve"> and going to epoxy + copper paths (PP-05). This doc exists so we repeat the first one.</w:t>
      </w:r>
    </w:p>
    <w:p>
      <w:pPr>
        <w:pStyle w:val="Heading2"/>
      </w:pPr>
      <w:r>
        <w:t>2. Scope</w:t>
      </w:r>
    </w:p>
    <w:p>
      <w:r>
        <w:t xml:space="preserve">Any CF part with a grounding/bonding requirement, and any conductive-path retrofit on existing parts. The Ω target and rule interpretation come from the EV rules owner (powertrain/rules lead); this standard covers how composites </w:t>
      </w:r>
      <w:r>
        <w:rPr>
          <w:i/>
        </w:rPr>
        <w:t>achieves and proves</w:t>
      </w:r>
      <w:r>
        <w:t xml:space="preserve"> the target, not what the target legally is.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PP-05 RCA (catch-can saga)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CS-002 (mesh in the ply table)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CS-002 §7.1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SN5 grounding trials: graphite powder judged insufficient vs copper mesh (Nico, #composites, Nov 2025)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Slack record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Diffuser validation &lt;1 Ω (post-comp recap)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#composites, 2026-06-21</w:t>
            </w:r>
          </w:p>
        </w:tc>
      </w:tr>
    </w:tbl>
    <w:p/>
    <w:p>
      <w:pPr>
        <w:pStyle w:val="Heading2"/>
      </w:pPr>
      <w:r>
        <w:t>4. Definitions</w:t>
      </w:r>
    </w:p>
    <w:p>
      <w:pPr>
        <w:pStyle w:val="ListBullet"/>
      </w:pPr>
      <w:r>
        <w:rPr>
          <w:b/>
        </w:rPr>
        <w:t>Grounding point</w:t>
      </w:r>
      <w:r>
        <w:t>: the fastener/tab where the part's conductive path meets chassis ground.</w:t>
      </w:r>
    </w:p>
    <w:p>
      <w:pPr>
        <w:pStyle w:val="ListBullet"/>
      </w:pPr>
      <w:r>
        <w:rPr>
          <w:b/>
        </w:rPr>
        <w:t>Probe pattern</w:t>
      </w:r>
      <w:r>
        <w:t>: the defined set of surface points measured against the grounding point.</w:t>
      </w:r>
    </w:p>
    <w:p>
      <w:pPr>
        <w:pStyle w:val="ListBullet"/>
      </w:pPr>
      <w:r>
        <w:rPr>
          <w:b/>
        </w:rPr>
        <w:t>CF as conductor</w:t>
      </w:r>
      <w:r>
        <w:t>: carbon laminate conducts, but through-thickness resistance through resin-rich layers is high and unpredictable; bare CF also can't be reliably terminated. Hence copper mesh.</w:t>
      </w:r>
    </w:p>
    <w:p>
      <w:pPr>
        <w:pStyle w:val="Heading2"/>
      </w:pPr>
      <w:r>
        <w:t>5. Equipment &amp;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Spec / product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Copper mesh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Fine woven mesh (repeat team buy)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Amazon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The validated conductor (R3, R4)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Multimeter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2-wire, known-good leads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Electrical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Zero the leads first (touch together, note offset)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Ring terminals / grounding hardware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Per part design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McMaster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>
            <w:r>
              <w:rPr>
                <w:sz w:val="19"/>
              </w:rPr>
              <w:t>Graphite powder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1–5 wt% in resin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Sigma-Aldrich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Secondary/supplement only; insufficient alone (R3)</w:t>
            </w:r>
          </w:p>
        </w:tc>
      </w:tr>
    </w:tbl>
    <w:p/>
    <w:p>
      <w:pPr>
        <w:pStyle w:val="Heading2"/>
      </w:pPr>
      <w:r>
        <w:t>6. Safety</w:t>
      </w:r>
    </w:p>
    <w:p>
      <w:r>
        <w:t>Grounding verification happens on or near the car: follow EV safety rules. No probing near energized HV; HV isolation confirmed by the ESO before resistance measurements on installed parts. Bench measurements on loose parts: no special hazards beyond CS-009 dust rules if sanding contact points.</w:t>
      </w:r>
    </w:p>
    <w:p>
      <w:pPr>
        <w:pStyle w:val="Heading2"/>
      </w:pPr>
      <w:r>
        <w:t>7. Procedure</w:t>
      </w:r>
    </w:p>
    <w:p>
      <w:pPr>
        <w:pStyle w:val="Heading3"/>
      </w:pPr>
      <w:r>
        <w:t>7.1 Decision point first (the catch-can lesson)</w:t>
      </w:r>
    </w:p>
    <w:p>
      <w:pPr>
        <w:pStyle w:val="ListNumber"/>
      </w:pPr>
      <w:r>
        <w:t xml:space="preserve">Before any layup work, answer on the WO: </w:t>
      </w:r>
      <w:r>
        <w:rPr>
          <w:b/>
        </w:rPr>
        <w:t>is CF-with-copper-mesh the right conductive path for this geometry?</w:t>
      </w:r>
    </w:p>
    <w:p>
      <w:pPr>
        <w:pStyle w:val="ListBullet"/>
      </w:pPr>
      <w:r>
        <w:rPr>
          <w:b/>
        </w:rPr>
        <w:t>Good fit:</w:t>
      </w:r>
      <w:r>
        <w:t xml:space="preserve"> large open laminates (diffuser, panels) where mesh lays flat in the stack and terminates at accessible flange points.</w:t>
      </w:r>
    </w:p>
    <w:p>
      <w:pPr>
        <w:pStyle w:val="ListBullet"/>
      </w:pPr>
      <w:r>
        <w:rPr>
          <w:b/>
        </w:rPr>
        <w:t>Bad fit:</w:t>
      </w:r>
      <w:r>
        <w:t xml:space="preserve"> thin-walled, tapered, or wrapped metal substrates (the catch can: sanding punctured the can wall at the taper; through-thickness contact never stabilized). For these, use </w:t>
      </w:r>
      <w:r>
        <w:rPr>
          <w:b/>
        </w:rPr>
        <w:t>epoxy + copper strip/braid paths bonded to the surface</w:t>
      </w:r>
      <w:r>
        <w:t>, or reconsider whether the part needs CF at all.</w:t>
      </w:r>
    </w:p>
    <w:p>
      <w:pPr>
        <w:pStyle w:val="ListNumber"/>
      </w:pPr>
      <w:r>
        <w:t xml:space="preserve">Write the acceptance criterion on the WO </w:t>
      </w:r>
      <w:r>
        <w:rPr>
          <w:b/>
        </w:rPr>
        <w:t>before work starts</w:t>
      </w:r>
      <w:r>
        <w:t>: Ω target, probe pattern (grid spacing or named points), and measurement method (7.3). Six months of drift happened because none of this was written (R1).</w:t>
      </w:r>
    </w:p>
    <w:p>
      <w:pPr>
        <w:pStyle w:val="Heading3"/>
      </w:pPr>
      <w:r>
        <w:t>7.2 Build the path (mesh-in-stack method: the diffuser recipe)</w:t>
      </w:r>
    </w:p>
    <w:p>
      <w:pPr>
        <w:pStyle w:val="ListNumber"/>
      </w:pPr>
      <w:r>
        <w:t xml:space="preserve">Put copper mesh in the ply table per CS-002: mesh layer(s) positioned to be continuous from part surface zones to the grounding point(s), </w:t>
      </w:r>
      <w:r>
        <w:rPr>
          <w:b/>
        </w:rPr>
        <w:t>25 mm minimum overlap</w:t>
      </w:r>
      <w:r>
        <w:t xml:space="preserve"> where mesh sheets meet.</w:t>
      </w:r>
    </w:p>
    <w:p>
      <w:pPr>
        <w:pStyle w:val="ListNumber"/>
      </w:pPr>
      <w:r>
        <w:t>Mesh must reach the grounding point as bare, terminable material: leave a mesh tail at the flange/fastener location, protected during infusion (peel-ply window or masked zone).</w:t>
      </w:r>
    </w:p>
    <w:p>
      <w:pPr>
        <w:pStyle w:val="ListNumber"/>
      </w:pPr>
      <w:r>
        <w:t>For surfaces needing exposed conductivity, an 88-gsm outer ply over mesh keeps finish while staying thin; validate on the first article that surface-to-ground still passes.</w:t>
      </w:r>
    </w:p>
    <w:p>
      <w:pPr>
        <w:pStyle w:val="ListNumber"/>
      </w:pPr>
      <w:r>
        <w:t xml:space="preserve">Graphite powder (1–5 wt% in the resin) may be added as a </w:t>
      </w:r>
      <w:r>
        <w:rPr>
          <w:i/>
        </w:rPr>
        <w:t>supplement</w:t>
      </w:r>
      <w:r>
        <w:t xml:space="preserve"> in zones where mesh coverage is marginal, never as the primary path (SN5 trials judged it insufficient alone, R3). If used, record wt% on the WO.</w:t>
      </w:r>
    </w:p>
    <w:p>
      <w:pPr>
        <w:pStyle w:val="ListNumber"/>
      </w:pPr>
      <w:r>
        <w:t>Infuse/laminate per CS-006/CS-007. Note on the WO where mesh actually ended up (as-built).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05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010-mesh-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5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1. The mesh-in-stack path in plan: sheets overlapping ≥25 mm, a bare terminable tail at the grounding point, and the default probe pattern (100 mm grid plus edge midpoints). Every point measures to the grounding point; every point passes or the part does not.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copper mesh tail at grounding point before bagging ]</w:t>
              <w:br/>
              <w:br/>
            </w:r>
          </w:p>
        </w:tc>
      </w:tr>
    </w:tbl>
    <w:p/>
    <w:p>
      <w:pPr>
        <w:pStyle w:val="Heading3"/>
      </w:pPr>
      <w:r>
        <w:t>7.3 Measure: one method, every time</w:t>
      </w:r>
    </w:p>
    <w:p>
      <w:pPr>
        <w:pStyle w:val="ListNumber"/>
      </w:pPr>
      <w:r>
        <w:t>Zero the multimeter leads; record lead resistance.</w:t>
      </w:r>
    </w:p>
    <w:p>
      <w:pPr>
        <w:pStyle w:val="ListNumber"/>
      </w:pPr>
      <w:r>
        <w:t>Fasten the grounding hardware as it will fly (torqued, washers as designed); hand-held contact readings are noise.</w:t>
      </w:r>
    </w:p>
    <w:p>
      <w:pPr>
        <w:pStyle w:val="ListNumber"/>
      </w:pPr>
      <w:r>
        <w:t>Probe every point in the WO's probe pattern (default: 100 mm grid over conductive zones + every edge midpoint) to the grounding point. Record each value minus lead offset.</w:t>
      </w:r>
    </w:p>
    <w:p>
      <w:pPr>
        <w:pStyle w:val="ListNumber"/>
      </w:pPr>
      <w:r>
        <w:t xml:space="preserve">Pass = </w:t>
      </w:r>
      <w:r>
        <w:rPr>
          <w:b/>
        </w:rPr>
        <w:t>every</w:t>
      </w:r>
      <w:r>
        <w:t xml:space="preserve"> point ≤ target (default &lt;5 Ω, or the rules value on the WO). Not "one good point": that ambiguity burned a month in May 2026 (R1).</w:t>
      </w:r>
    </w:p>
    <w:p>
      <w:pPr>
        <w:pStyle w:val="Heading3"/>
      </w:pPr>
      <w:r>
        <w:t>7.4 If it fails</w:t>
      </w:r>
    </w:p>
    <w:p>
      <w:pPr>
        <w:pStyle w:val="ListNumber"/>
      </w:pPr>
      <w:r>
        <w:t>Map the failing zone; usually a mesh discontinuity or resin-isolated overlap.</w:t>
      </w:r>
    </w:p>
    <w:p>
      <w:pPr>
        <w:pStyle w:val="ListNumber"/>
      </w:pPr>
      <w:r>
        <w:t xml:space="preserve">Fixes in order of preference: expose + bond a copper strip bridge (epoxy + copper path), add an external ground tab at the failing zone, or lightly abrade to mesh at a termination point and re-terminate. </w:t>
      </w:r>
      <w:r>
        <w:rPr>
          <w:b/>
        </w:rPr>
        <w:t>Do not sand thin laminates chasing contact.</w:t>
      </w:r>
      <w:r>
        <w:t xml:space="preserve"> That is how the catch cans died (R1).</w:t>
      </w:r>
    </w:p>
    <w:p>
      <w:pPr>
        <w:pStyle w:val="ListNumber"/>
      </w:pPr>
      <w:r>
        <w:t>Re-measure the full pattern after any fix, not just the failed point.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Criterion written before work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Ω + probe pattern + method on WO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blocker step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Decision point answered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CF-mesh vs alternative path, with one-line why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field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Resistance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Every probe point ≤ target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§7.3 method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 (full table of readings)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As-built mesh record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Matches or deviations noted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CS-002 §7.4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</w:tbl>
    <w:p/>
    <w:p>
      <w:pPr>
        <w:pStyle w:val="Heading2"/>
      </w:pPr>
      <w:r>
        <w:t>9. Records</w:t>
      </w:r>
    </w:p>
    <w:p>
      <w:r>
        <w:t>The WO keeps: the decision-point answer, criterion, full probe-reading table (values, not "pass"), photos of mesh placement and termination, and any retrofit fixes. The diffuser's &lt;1 Ω table is the reference example once WO-SN5 retro-records are loaded.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