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CS-001 Part, Mold &amp; Material Labeling</w:t>
      </w:r>
    </w:p>
    <w:tbl>
      <w:tblPr>
        <w:tblStyle w:val="TableGrid"/>
        <w:tblW w:type="auto" w:w="0"/>
        <w:jc w:val="center"/>
        <w:tblLook w:firstColumn="1" w:firstRow="1" w:lastColumn="0" w:lastRow="0" w:noHBand="0" w:noVBand="1" w:val="04A0"/>
      </w:tblPr>
      <w:tblGrid>
        <w:gridCol w:w="4824"/>
        <w:gridCol w:w="4824"/>
      </w:tblGrid>
      <w:tr>
        <w:tc>
          <w:tcPr>
            <w:tcW w:type="dxa" w:w="4824"/>
            <w:shd w:val="clear" w:fill="003262"/>
          </w:tcPr>
          <w:p/>
        </w:tc>
        <w:tc>
          <w:tcPr>
            <w:tcW w:type="dxa" w:w="4824"/>
            <w:shd w:val="clear" w:fill="003262"/>
          </w:tcPr>
          <w:p/>
        </w:tc>
      </w:tr>
      <w:tr>
        <w:tc>
          <w:tcPr>
            <w:tcW w:type="dxa" w:w="4824"/>
          </w:tcPr>
          <w:p>
            <w:r>
              <w:rPr>
                <w:b/>
                <w:sz w:val="19"/>
              </w:rPr>
              <w:t>Doc ID</w:t>
            </w:r>
          </w:p>
        </w:tc>
        <w:tc>
          <w:tcPr>
            <w:tcW w:type="dxa" w:w="4824"/>
          </w:tcPr>
          <w:p>
            <w:r>
              <w:rPr>
                <w:sz w:val="19"/>
              </w:rPr>
              <w:t>CS-001</w:t>
            </w:r>
          </w:p>
        </w:tc>
      </w:tr>
      <w:tr>
        <w:tc>
          <w:tcPr>
            <w:tcW w:type="dxa" w:w="4824"/>
          </w:tcPr>
          <w:p>
            <w:r>
              <w:rPr>
                <w:b/>
                <w:sz w:val="19"/>
              </w:rPr>
              <w:t>Title</w:t>
            </w:r>
          </w:p>
        </w:tc>
        <w:tc>
          <w:tcPr>
            <w:tcW w:type="dxa" w:w="4824"/>
          </w:tcPr>
          <w:p>
            <w:r>
              <w:rPr>
                <w:sz w:val="19"/>
              </w:rPr>
              <w:t>Part, Mold &amp; Material Labeling</w:t>
            </w:r>
          </w:p>
        </w:tc>
      </w:tr>
      <w:tr>
        <w:tc>
          <w:tcPr>
            <w:tcW w:type="dxa" w:w="4824"/>
          </w:tcPr>
          <w:p>
            <w:r>
              <w:rPr>
                <w:b/>
                <w:sz w:val="19"/>
              </w:rPr>
              <w:t>Revision</w:t>
            </w:r>
          </w:p>
        </w:tc>
        <w:tc>
          <w:tcPr>
            <w:tcW w:type="dxa" w:w="4824"/>
          </w:tcPr>
          <w:p>
            <w:r>
              <w:rPr>
                <w:sz w:val="19"/>
              </w:rPr>
              <w:t>D</w:t>
            </w:r>
          </w:p>
        </w:tc>
      </w:tr>
      <w:tr>
        <w:tc>
          <w:tcPr>
            <w:tcW w:type="dxa" w:w="4824"/>
          </w:tcPr>
          <w:p>
            <w:r>
              <w:rPr>
                <w:b/>
                <w:sz w:val="19"/>
              </w:rPr>
              <w:t>Status</w:t>
            </w:r>
          </w:p>
        </w:tc>
        <w:tc>
          <w:tcPr>
            <w:tcW w:type="dxa" w:w="4824"/>
          </w:tcPr>
          <w:p>
            <w:r>
              <w:rPr>
                <w:sz w:val="19"/>
              </w:rPr>
              <w:t>Draft, pending Lead signature</w:t>
            </w:r>
          </w:p>
        </w:tc>
      </w:tr>
      <w:tr>
        <w:tc>
          <w:tcPr>
            <w:tcW w:type="dxa" w:w="4824"/>
          </w:tcPr>
          <w:p>
            <w:r>
              <w:rPr>
                <w:b/>
                <w:sz w:val="19"/>
              </w:rPr>
              <w:t>Effective date</w:t>
            </w:r>
          </w:p>
        </w:tc>
        <w:tc>
          <w:tcPr>
            <w:tcW w:type="dxa" w:w="4824"/>
          </w:tcPr>
          <w:p>
            <w:r>
              <w:rPr>
                <w:sz w:val="19"/>
              </w:rPr>
              <w:t>2026-08-03</w:t>
            </w:r>
          </w:p>
        </w:tc>
      </w:tr>
      <w:tr>
        <w:tc>
          <w:tcPr>
            <w:tcW w:type="dxa" w:w="4824"/>
          </w:tcPr>
          <w:p>
            <w:r>
              <w:rPr>
                <w:b/>
                <w:sz w:val="19"/>
              </w:rPr>
              <w:t>Supersedes</w:t>
            </w:r>
          </w:p>
        </w:tc>
        <w:tc>
          <w:tcPr>
            <w:tcW w:type="dxa" w:w="4824"/>
          </w:tcPr>
          <w:p>
            <w:r>
              <w:rPr>
                <w:sz w:val="19"/>
              </w:rPr>
              <w:t>Unlabeled everything</w:t>
            </w:r>
          </w:p>
        </w:tc>
      </w:tr>
    </w:tbl>
    <w:p/>
    <w:p>
      <w:r>
        <w:rPr>
          <w:b/>
        </w:rPr>
        <w:t>Approvals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003262"/>
          </w:tcPr>
          <w:p>
            <w:r>
              <w:rPr>
                <w:b/>
                <w:color w:val="FFFFFF"/>
                <w:sz w:val="19"/>
              </w:rPr>
              <w:t>Role</w:t>
            </w:r>
          </w:p>
        </w:tc>
        <w:tc>
          <w:tcPr>
            <w:tcW w:type="dxa" w:w="3216"/>
            <w:shd w:val="clear" w:fill="003262"/>
          </w:tcPr>
          <w:p>
            <w:r>
              <w:rPr>
                <w:b/>
                <w:color w:val="FFFFFF"/>
                <w:sz w:val="19"/>
              </w:rPr>
              <w:t>Name</w:t>
            </w:r>
          </w:p>
        </w:tc>
        <w:tc>
          <w:tcPr>
            <w:tcW w:type="dxa" w:w="3216"/>
            <w:shd w:val="clear" w:fill="003262"/>
          </w:tcPr>
          <w:p>
            <w:r>
              <w:rPr>
                <w:b/>
                <w:color w:val="FFFFFF"/>
                <w:sz w:val="19"/>
              </w:rPr>
              <w:t>Date</w:t>
            </w:r>
          </w:p>
        </w:tc>
      </w:tr>
      <w:tr>
        <w:tc>
          <w:tcPr>
            <w:tcW w:type="dxa" w:w="3216"/>
          </w:tcPr>
          <w:p>
            <w:r>
              <w:rPr>
                <w:sz w:val="19"/>
              </w:rPr>
              <w:t>Author</w:t>
            </w:r>
          </w:p>
        </w:tc>
        <w:tc>
          <w:tcPr>
            <w:tcW w:type="dxa" w:w="3216"/>
          </w:tcPr>
          <w:p>
            <w:r>
              <w:rPr>
                <w:sz w:val="19"/>
              </w:rPr>
              <w:t>Simon Starbuck (drafted with Claude, SN6 Resources)</w:t>
            </w:r>
          </w:p>
        </w:tc>
        <w:tc>
          <w:tcPr>
            <w:tcW w:type="dxa" w:w="3216"/>
          </w:tcPr>
          <w:p>
            <w:r>
              <w:rPr>
                <w:sz w:val="19"/>
              </w:rPr>
              <w:t>2026-07-12</w:t>
            </w:r>
          </w:p>
        </w:tc>
      </w:tr>
      <w:tr>
        <w:tc>
          <w:tcPr>
            <w:tcW w:type="dxa" w:w="3216"/>
          </w:tcPr>
          <w:p>
            <w:r>
              <w:rPr>
                <w:sz w:val="19"/>
              </w:rPr>
              <w:t>Reviewer</w:t>
            </w:r>
          </w:p>
        </w:tc>
        <w:tc>
          <w:tcPr>
            <w:tcW w:type="dxa" w:w="3216"/>
          </w:tcPr>
          <w:p/>
        </w:tc>
        <w:tc>
          <w:tcPr>
            <w:tcW w:type="dxa" w:w="3216"/>
          </w:tcPr>
          <w:p/>
        </w:tc>
      </w:tr>
      <w:tr>
        <w:tc>
          <w:tcPr>
            <w:tcW w:type="dxa" w:w="3216"/>
          </w:tcPr>
          <w:p>
            <w:r>
              <w:rPr>
                <w:sz w:val="19"/>
              </w:rPr>
              <w:t>Approver (Composites Lead)</w:t>
            </w:r>
          </w:p>
        </w:tc>
        <w:tc>
          <w:tcPr>
            <w:tcW w:type="dxa" w:w="3216"/>
          </w:tcPr>
          <w:p/>
        </w:tc>
        <w:tc>
          <w:tcPr>
            <w:tcW w:type="dxa" w:w="3216"/>
          </w:tcPr>
          <w:p/>
        </w:tc>
      </w:tr>
    </w:tbl>
    <w:p/>
    <w:p>
      <w:r>
        <w:rPr>
          <w:b/>
        </w:rPr>
        <w:t>Revision history</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003262"/>
          </w:tcPr>
          <w:p>
            <w:r>
              <w:rPr>
                <w:b/>
                <w:color w:val="FFFFFF"/>
                <w:sz w:val="19"/>
              </w:rPr>
              <w:t>Rev</w:t>
            </w:r>
          </w:p>
        </w:tc>
        <w:tc>
          <w:tcPr>
            <w:tcW w:type="dxa" w:w="2412"/>
            <w:shd w:val="clear" w:fill="003262"/>
          </w:tcPr>
          <w:p>
            <w:r>
              <w:rPr>
                <w:b/>
                <w:color w:val="FFFFFF"/>
                <w:sz w:val="19"/>
              </w:rPr>
              <w:t>Date</w:t>
            </w:r>
          </w:p>
        </w:tc>
        <w:tc>
          <w:tcPr>
            <w:tcW w:type="dxa" w:w="2412"/>
            <w:shd w:val="clear" w:fill="003262"/>
          </w:tcPr>
          <w:p>
            <w:r>
              <w:rPr>
                <w:b/>
                <w:color w:val="FFFFFF"/>
                <w:sz w:val="19"/>
              </w:rPr>
              <w:t>Author</w:t>
            </w:r>
          </w:p>
        </w:tc>
        <w:tc>
          <w:tcPr>
            <w:tcW w:type="dxa" w:w="2412"/>
            <w:shd w:val="clear" w:fill="003262"/>
          </w:tcPr>
          <w:p>
            <w:r>
              <w:rPr>
                <w:b/>
                <w:color w:val="FFFFFF"/>
                <w:sz w:val="19"/>
              </w:rPr>
              <w:t>Description of change</w:t>
            </w:r>
          </w:p>
        </w:tc>
      </w:tr>
      <w:tr>
        <w:tc>
          <w:tcPr>
            <w:tcW w:type="dxa" w:w="2412"/>
          </w:tcPr>
          <w:p>
            <w:r>
              <w:rPr>
                <w:sz w:val="19"/>
              </w:rPr>
              <w:t>A</w:t>
            </w:r>
          </w:p>
        </w:tc>
        <w:tc>
          <w:tcPr>
            <w:tcW w:type="dxa" w:w="2412"/>
          </w:tcPr>
          <w:p>
            <w:r>
              <w:rPr>
                <w:sz w:val="19"/>
              </w:rPr>
              <w:t>2026-07-12</w:t>
            </w:r>
          </w:p>
        </w:tc>
        <w:tc>
          <w:tcPr>
            <w:tcW w:type="dxa" w:w="2412"/>
          </w:tcPr>
          <w:p>
            <w:r>
              <w:rPr>
                <w:sz w:val="19"/>
              </w:rPr>
              <w:t>Claude</w:t>
            </w:r>
          </w:p>
        </w:tc>
        <w:tc>
          <w:tcPr>
            <w:tcW w:type="dxa" w:w="2412"/>
          </w:tcPr>
          <w:p>
            <w:r>
              <w:rPr>
                <w:sz w:val="19"/>
              </w:rPr>
              <w:t>Initial outline</w:t>
            </w:r>
          </w:p>
        </w:tc>
      </w:tr>
      <w:tr>
        <w:tc>
          <w:tcPr>
            <w:tcW w:type="dxa" w:w="2412"/>
          </w:tcPr>
          <w:p>
            <w:r>
              <w:rPr>
                <w:sz w:val="19"/>
              </w:rPr>
              <w:t>B</w:t>
            </w:r>
          </w:p>
        </w:tc>
        <w:tc>
          <w:tcPr>
            <w:tcW w:type="dxa" w:w="2412"/>
          </w:tcPr>
          <w:p>
            <w:r>
              <w:rPr>
                <w:sz w:val="19"/>
              </w:rPr>
              <w:t>2026-07-28</w:t>
            </w:r>
          </w:p>
        </w:tc>
        <w:tc>
          <w:tcPr>
            <w:tcW w:type="dxa" w:w="2412"/>
          </w:tcPr>
          <w:p>
            <w:r>
              <w:rPr>
                <w:sz w:val="19"/>
              </w:rPr>
              <w:t>Claude</w:t>
            </w:r>
          </w:p>
        </w:tc>
        <w:tc>
          <w:tcPr>
            <w:tcW w:type="dxa" w:w="2412"/>
          </w:tcPr>
          <w:p>
            <w:r>
              <w:rPr>
                <w:sz w:val="19"/>
              </w:rPr>
              <w:t>Language pass: fewer em dashes for rhythm variety, no content change.</w:t>
            </w:r>
          </w:p>
        </w:tc>
      </w:tr>
      <w:tr>
        <w:tc>
          <w:tcPr>
            <w:tcW w:type="dxa" w:w="2412"/>
          </w:tcPr>
          <w:p>
            <w:r>
              <w:rPr>
                <w:sz w:val="19"/>
              </w:rPr>
              <w:t>C</w:t>
            </w:r>
          </w:p>
        </w:tc>
        <w:tc>
          <w:tcPr>
            <w:tcW w:type="dxa" w:w="2412"/>
          </w:tcPr>
          <w:p>
            <w:r>
              <w:rPr>
                <w:sz w:val="19"/>
              </w:rPr>
              <w:t>2026-08-03</w:t>
            </w:r>
          </w:p>
        </w:tc>
        <w:tc>
          <w:tcPr>
            <w:tcW w:type="dxa" w:w="2412"/>
          </w:tcPr>
          <w:p>
            <w:r>
              <w:rPr>
                <w:sz w:val="19"/>
              </w:rPr>
              <w:t>Claude</w:t>
            </w:r>
          </w:p>
        </w:tc>
        <w:tc>
          <w:tcPr>
            <w:tcW w:type="dxa" w:w="2412"/>
          </w:tcPr>
          <w:p>
            <w:r>
              <w:rPr>
                <w:sz w:val="19"/>
              </w:rPr>
              <w:t>Out of outline. §7 written in full: the two keep-out rules, where each class of object gets its label, the three mold identification layers, pair-print relocation for parts, and the label content per class. §5 no longer claims nothing needs ordering approval, because a label printer does (CS-012). §4 defines the ID and the QR. §8 gains checks that can actually be walked.</w:t>
            </w:r>
          </w:p>
        </w:tc>
      </w:tr>
      <w:tr>
        <w:tc>
          <w:tcPr>
            <w:tcW w:type="dxa" w:w="2412"/>
          </w:tcPr>
          <w:p>
            <w:r>
              <w:rPr>
                <w:sz w:val="19"/>
              </w:rPr>
              <w:t>D</w:t>
            </w:r>
          </w:p>
        </w:tc>
        <w:tc>
          <w:tcPr>
            <w:tcW w:type="dxa" w:w="2412"/>
          </w:tcPr>
          <w:p>
            <w:r>
              <w:rPr>
                <w:sz w:val="19"/>
              </w:rPr>
              <w:t>2026-08-26</w:t>
            </w:r>
          </w:p>
        </w:tc>
        <w:tc>
          <w:tcPr>
            <w:tcW w:type="dxa" w:w="2412"/>
          </w:tcPr>
          <w:p>
            <w:r>
              <w:rPr>
                <w:sz w:val="19"/>
              </w:rPr>
              <w:t>Claude</w:t>
            </w:r>
          </w:p>
        </w:tc>
        <w:tc>
          <w:tcPr>
            <w:tcW w:type="dxa" w:w="2412"/>
          </w:tcPr>
          <w:p>
            <w:r>
              <w:rPr>
                <w:sz w:val="19"/>
              </w:rPr>
              <w:t xml:space="preserve">Added the R&amp;D mark (CS-013 §4). §4 defines it and states outright that it is </w:t>
            </w:r>
            <w:r>
              <w:rPr>
                <w:b/>
                <w:sz w:val="19"/>
              </w:rPr>
              <w:t>not</w:t>
            </w:r>
            <w:r>
              <w:rPr>
                <w:sz w:val="19"/>
              </w:rPr>
              <w:t xml:space="preserve"> a class word — the class-word list is unchanged and still maps one-to-one onto ID prefixes, so </w:t>
            </w:r>
            <w:r>
              <w:rPr>
                <w:rFonts w:ascii="Courier New" w:hAnsi="Courier New"/>
                <w:sz w:val="19"/>
              </w:rPr>
              <w:t>R&amp;D PART</w:t>
            </w:r>
            <w:r>
              <w:rPr>
                <w:sz w:val="19"/>
              </w:rPr>
              <w:t xml:space="preserve"> is not a thing and TEST PANEL keeps its single meaning. §7.6 places the mark on the ID line, gives the two reasons it goes there rather than on a content line, and says what it does and does not mean. The §4 QR note records why R&amp;D never enters the ID or the URL. §8 gains a stock-walk check.</w:t>
            </w:r>
          </w:p>
        </w:tc>
      </w:tr>
    </w:tbl>
    <w:p/>
    <w:p>
      <w:pPr>
        <w:pStyle w:val="Heading2"/>
      </w:pPr>
      <w:r>
        <w:t>1. Purpose</w:t>
      </w:r>
    </w:p>
    <w:p>
      <w:r>
        <w:t>Unlabeled molds sat blocking shared storage for weeks while nobody was sure whose they were (PP-10), and unlabeled offcuts made "wait, which gsm is this?" a weekly guessing game (PP-09). So: everything physical gets a label that points back to a record.</w:t>
      </w:r>
    </w:p>
    <w:p>
      <w:r>
        <w:t>Rev C exists because Rev B said that and then stopped. It named no media, so labels were Sharpie on masking tape, which the shop's own isopropyl wipe dissolves (R7). It gave no keep-out rule, so a label on a flange is a vacuum leak nobody can find at 27 inHg. And it predates the app being able to print a label at all, which it now can.</w:t>
      </w:r>
    </w:p>
    <w:p>
      <w:pPr>
        <w:pStyle w:val="Heading2"/>
      </w:pPr>
      <w:r>
        <w:t>2. Scope</w:t>
      </w:r>
    </w:p>
    <w:p>
      <w:r>
        <w:t>Molds, parts (from demold onward), tooling-board stock, cloth rolls and offcuts, resin and hardener containers, mixed-chemical containers, test panels and coupons, jigs and fixtures, and storage locations.</w:t>
      </w:r>
    </w:p>
    <w:p>
      <w:r>
        <w:t>Not covered: electrical and wiring labeling, which is electrical's own standard, and anything not physically ours.</w:t>
      </w:r>
    </w:p>
    <w:p>
      <w:pPr>
        <w:pStyle w:val="Heading2"/>
      </w:pPr>
      <w:r>
        <w:t>3. References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003262"/>
          </w:tcPr>
          <w:p>
            <w:r>
              <w:rPr>
                <w:b/>
                <w:color w:val="FFFFFF"/>
                <w:sz w:val="19"/>
              </w:rPr>
              <w:t>Ref</w:t>
            </w:r>
          </w:p>
        </w:tc>
        <w:tc>
          <w:tcPr>
            <w:tcW w:type="dxa" w:w="3216"/>
            <w:shd w:val="clear" w:fill="003262"/>
          </w:tcPr>
          <w:p>
            <w:r>
              <w:rPr>
                <w:b/>
                <w:color w:val="FFFFFF"/>
                <w:sz w:val="19"/>
              </w:rPr>
              <w:t>Document</w:t>
            </w:r>
          </w:p>
        </w:tc>
        <w:tc>
          <w:tcPr>
            <w:tcW w:type="dxa" w:w="3216"/>
            <w:shd w:val="clear" w:fill="003262"/>
          </w:tcPr>
          <w:p>
            <w:r>
              <w:rPr>
                <w:b/>
                <w:color w:val="FFFFFF"/>
                <w:sz w:val="19"/>
              </w:rPr>
              <w:t>Where</w:t>
            </w:r>
          </w:p>
        </w:tc>
      </w:tr>
      <w:tr>
        <w:tc>
          <w:tcPr>
            <w:tcW w:type="dxa" w:w="3216"/>
          </w:tcPr>
          <w:p>
            <w:r>
              <w:rPr>
                <w:sz w:val="19"/>
              </w:rPr>
              <w:t>R1</w:t>
            </w:r>
          </w:p>
        </w:tc>
        <w:tc>
          <w:tcPr>
            <w:tcW w:type="dxa" w:w="3216"/>
          </w:tcPr>
          <w:p>
            <w:r>
              <w:rPr>
                <w:sz w:val="19"/>
              </w:rPr>
              <w:t>PP-09, PP-10</w:t>
            </w:r>
          </w:p>
        </w:tc>
        <w:tc>
          <w:tcPr>
            <w:tcW w:type="dxa" w:w="3216"/>
          </w:tcPr>
          <w:p>
            <w:r>
              <w:rPr>
                <w:sz w:val="19"/>
              </w:rPr>
              <w:t>FEB-COMP-PP-001</w:t>
            </w:r>
          </w:p>
        </w:tc>
      </w:tr>
      <w:tr>
        <w:tc>
          <w:tcPr>
            <w:tcW w:type="dxa" w:w="3216"/>
          </w:tcPr>
          <w:p>
            <w:r>
              <w:rPr>
                <w:sz w:val="19"/>
              </w:rPr>
              <w:t>R2</w:t>
            </w:r>
          </w:p>
        </w:tc>
        <w:tc>
          <w:tcPr>
            <w:tcW w:type="dxa" w:w="3216"/>
          </w:tcPr>
          <w:p>
            <w:r>
              <w:rPr>
                <w:sz w:val="19"/>
              </w:rPr>
              <w:t>CS-013 (the record a label points to, and the ID grammar)</w:t>
            </w:r>
          </w:p>
        </w:tc>
        <w:tc>
          <w:tcPr>
            <w:tcW w:type="dxa" w:w="3216"/>
          </w:tcPr>
          <w:p>
            <w:r>
              <w:rPr>
                <w:sz w:val="19"/>
              </w:rPr>
              <w:t>this series</w:t>
            </w:r>
          </w:p>
        </w:tc>
      </w:tr>
      <w:tr>
        <w:tc>
          <w:tcPr>
            <w:tcW w:type="dxa" w:w="3216"/>
          </w:tcPr>
          <w:p>
            <w:r>
              <w:rPr>
                <w:sz w:val="19"/>
              </w:rPr>
              <w:t>R3</w:t>
            </w:r>
          </w:p>
        </w:tc>
        <w:tc>
          <w:tcPr>
            <w:tcW w:type="dxa" w:w="3216"/>
          </w:tcPr>
          <w:p>
            <w:r>
              <w:rPr>
                <w:sz w:val="19"/>
              </w:rPr>
              <w:t>CS-011 (home locations, the storage map)</w:t>
            </w:r>
          </w:p>
        </w:tc>
        <w:tc>
          <w:tcPr>
            <w:tcW w:type="dxa" w:w="3216"/>
          </w:tcPr>
          <w:p>
            <w:r>
              <w:rPr>
                <w:sz w:val="19"/>
              </w:rPr>
              <w:t>this series</w:t>
            </w:r>
          </w:p>
        </w:tc>
      </w:tr>
      <w:tr>
        <w:tc>
          <w:tcPr>
            <w:tcW w:type="dxa" w:w="3216"/>
          </w:tcPr>
          <w:p>
            <w:r>
              <w:rPr>
                <w:sz w:val="19"/>
              </w:rPr>
              <w:t>R4</w:t>
            </w:r>
          </w:p>
        </w:tc>
        <w:tc>
          <w:tcPr>
            <w:tcW w:type="dxa" w:w="3216"/>
          </w:tcPr>
          <w:p>
            <w:r>
              <w:rPr>
                <w:sz w:val="19"/>
              </w:rPr>
              <w:t>CS-003 §7.3 (glue-up), CS-005 (machining), CS-004 §7 (sealing and release)</w:t>
            </w:r>
          </w:p>
        </w:tc>
        <w:tc>
          <w:tcPr>
            <w:tcW w:type="dxa" w:w="3216"/>
          </w:tcPr>
          <w:p>
            <w:r>
              <w:rPr>
                <w:sz w:val="19"/>
              </w:rPr>
              <w:t>this series</w:t>
            </w:r>
          </w:p>
        </w:tc>
      </w:tr>
      <w:tr>
        <w:tc>
          <w:tcPr>
            <w:tcW w:type="dxa" w:w="3216"/>
          </w:tcPr>
          <w:p>
            <w:r>
              <w:rPr>
                <w:sz w:val="19"/>
              </w:rPr>
              <w:t>R5</w:t>
            </w:r>
          </w:p>
        </w:tc>
        <w:tc>
          <w:tcPr>
            <w:tcW w:type="dxa" w:w="3216"/>
          </w:tcPr>
          <w:p>
            <w:r>
              <w:rPr>
                <w:sz w:val="19"/>
              </w:rPr>
              <w:t>CS-009 (trim, sand, bond, clear coat)</w:t>
            </w:r>
          </w:p>
        </w:tc>
        <w:tc>
          <w:tcPr>
            <w:tcW w:type="dxa" w:w="3216"/>
          </w:tcPr>
          <w:p>
            <w:r>
              <w:rPr>
                <w:sz w:val="19"/>
              </w:rPr>
              <w:t>this series</w:t>
            </w:r>
          </w:p>
        </w:tc>
      </w:tr>
      <w:tr>
        <w:tc>
          <w:tcPr>
            <w:tcW w:type="dxa" w:w="3216"/>
          </w:tcPr>
          <w:p>
            <w:r>
              <w:rPr>
                <w:sz w:val="19"/>
              </w:rPr>
              <w:t>R6</w:t>
            </w:r>
          </w:p>
        </w:tc>
        <w:tc>
          <w:tcPr>
            <w:tcW w:type="dxa" w:w="3216"/>
          </w:tcPr>
          <w:p>
            <w:r>
              <w:rPr>
                <w:sz w:val="19"/>
              </w:rPr>
              <w:t>CS-012 (the label printer is a purchase)</w:t>
            </w:r>
          </w:p>
        </w:tc>
        <w:tc>
          <w:tcPr>
            <w:tcW w:type="dxa" w:w="3216"/>
          </w:tcPr>
          <w:p>
            <w:r>
              <w:rPr>
                <w:sz w:val="19"/>
              </w:rPr>
              <w:t>this series</w:t>
            </w:r>
          </w:p>
        </w:tc>
      </w:tr>
      <w:tr>
        <w:tc>
          <w:tcPr>
            <w:tcW w:type="dxa" w:w="3216"/>
          </w:tcPr>
          <w:p>
            <w:r>
              <w:rPr>
                <w:sz w:val="19"/>
              </w:rPr>
              <w:t>R7</w:t>
            </w:r>
          </w:p>
        </w:tc>
        <w:tc>
          <w:tcPr>
            <w:tcW w:type="dxa" w:w="3216"/>
          </w:tcPr>
          <w:p>
            <w:r>
              <w:rPr>
                <w:sz w:val="19"/>
              </w:rPr>
              <w:t>CS-004 §5 and §7.1: "Never acetone, never fibrous shop towels"; IPA ≥90% wipe at every stage</w:t>
            </w:r>
          </w:p>
        </w:tc>
        <w:tc>
          <w:tcPr>
            <w:tcW w:type="dxa" w:w="3216"/>
          </w:tcPr>
          <w:p>
            <w:r>
              <w:rPr>
                <w:sz w:val="19"/>
              </w:rPr>
              <w:t>CS-004</w:t>
            </w:r>
          </w:p>
        </w:tc>
      </w:tr>
      <w:tr>
        <w:tc>
          <w:tcPr>
            <w:tcW w:type="dxa" w:w="3216"/>
          </w:tcPr>
          <w:p>
            <w:r>
              <w:rPr>
                <w:sz w:val="19"/>
              </w:rPr>
              <w:t>R8</w:t>
            </w:r>
          </w:p>
        </w:tc>
        <w:tc>
          <w:tcPr>
            <w:tcW w:type="dxa" w:w="3216"/>
          </w:tcPr>
          <w:p>
            <w:r>
              <w:rPr>
                <w:sz w:val="19"/>
              </w:rPr>
              <w:t>ISO/IEC 18004 (QR symbology: alphanumeric mode, 4-module quiet zone)</w:t>
            </w:r>
          </w:p>
        </w:tc>
        <w:tc>
          <w:tcPr>
            <w:tcW w:type="dxa" w:w="3216"/>
          </w:tcPr>
          <w:p>
            <w:r>
              <w:rPr>
                <w:sz w:val="19"/>
              </w:rPr>
              <w:t>published standard</w:t>
            </w:r>
          </w:p>
        </w:tc>
      </w:tr>
      <w:tr>
        <w:tc>
          <w:tcPr>
            <w:tcW w:type="dxa" w:w="3216"/>
          </w:tcPr>
          <w:p>
            <w:r>
              <w:rPr>
                <w:sz w:val="19"/>
              </w:rPr>
              <w:t>R9</w:t>
            </w:r>
          </w:p>
        </w:tc>
        <w:tc>
          <w:tcPr>
            <w:tcW w:type="dxa" w:w="3216"/>
          </w:tcPr>
          <w:p>
            <w:r>
              <w:rPr>
                <w:sz w:val="19"/>
              </w:rPr>
              <w:t>ASTM D3039 (tensile coupon geometry: gauge and grip sections)</w:t>
            </w:r>
          </w:p>
        </w:tc>
        <w:tc>
          <w:tcPr>
            <w:tcW w:type="dxa" w:w="3216"/>
          </w:tcPr>
          <w:p>
            <w:r>
              <w:rPr>
                <w:sz w:val="19"/>
              </w:rPr>
              <w:t>published standard</w:t>
            </w:r>
          </w:p>
        </w:tc>
      </w:tr>
    </w:tbl>
    <w:p/>
    <w:p>
      <w:pPr>
        <w:pStyle w:val="Heading2"/>
      </w:pPr>
      <w:r>
        <w:t>4. Definitions</w:t>
      </w:r>
    </w:p>
    <w:p>
      <w:pPr>
        <w:pStyle w:val="ListBullet"/>
      </w:pPr>
      <w:r>
        <w:rPr>
          <w:b/>
        </w:rPr>
        <w:t>ID</w:t>
      </w:r>
      <w:r>
        <w:t xml:space="preserve"> — the record's own identifier, </w:t>
      </w:r>
      <w:r>
        <w:rPr>
          <w:rFonts w:ascii="Courier New" w:hAnsi="Courier New"/>
        </w:rPr>
        <w:t>PREFIX-SNx-###</w:t>
      </w:r>
      <w:r>
        <w:t xml:space="preserve">, assigned by the app and never reused (CS-013 §4). The ID </w:t>
      </w:r>
      <w:r>
        <w:rPr>
          <w:i/>
        </w:rPr>
        <w:t>is</w:t>
      </w:r>
      <w:r>
        <w:t xml:space="preserve"> the label text; there is no separate part number.</w:t>
      </w:r>
    </w:p>
    <w:p>
      <w:pPr>
        <w:pStyle w:val="ListBullet"/>
      </w:pPr>
      <w:r>
        <w:rPr>
          <w:b/>
        </w:rPr>
        <w:t>Label</w:t>
      </w:r>
      <w:r>
        <w:t xml:space="preserve"> — a printed 4 × 1 inch card carrying, at minimum, the </w:t>
      </w:r>
      <w:r>
        <w:rPr>
          <w:b/>
        </w:rPr>
        <w:t>ID</w:t>
      </w:r>
      <w:r>
        <w:t xml:space="preserve">, the </w:t>
      </w:r>
      <w:r>
        <w:rPr>
          <w:b/>
        </w:rPr>
        <w:t>class word</w:t>
      </w:r>
      <w:r>
        <w:t xml:space="preserve">, the </w:t>
      </w:r>
      <w:r>
        <w:rPr>
          <w:b/>
        </w:rPr>
        <w:t>name</w:t>
      </w:r>
      <w:r>
        <w:t xml:space="preserve">, and the </w:t>
      </w:r>
      <w:r>
        <w:rPr>
          <w:b/>
        </w:rPr>
        <w:t>one fact that identifies that class of object</w:t>
      </w:r>
      <w:r>
        <w:t xml:space="preserve"> (§7.6). Most also carry a QR code.</w:t>
      </w:r>
    </w:p>
    <w:p>
      <w:pPr>
        <w:pStyle w:val="ListBullet"/>
      </w:pPr>
      <w:r>
        <w:rPr>
          <w:b/>
        </w:rPr>
        <w:t>Class word</w:t>
      </w:r>
      <w:r>
        <w:t xml:space="preserve"> — PART, MOLD, TEST PANEL, FABRIC, RESIN, BOARD, JIG, STORAGE. Mandatory, and larger on the label than the code itself, so </w:t>
      </w:r>
      <w:r>
        <w:rPr>
          <w:rFonts w:ascii="Courier New" w:hAnsi="Courier New"/>
        </w:rPr>
        <w:t>P-SN6-007</w:t>
      </w:r>
      <w:r>
        <w:t xml:space="preserve"> can never be read as </w:t>
      </w:r>
      <w:r>
        <w:rPr>
          <w:rFonts w:ascii="Courier New" w:hAnsi="Courier New"/>
        </w:rPr>
        <w:t>PROJ-SN6-007</w:t>
      </w:r>
      <w:r>
        <w:t xml:space="preserve"> at 7 pt with resin on it.</w:t>
      </w:r>
    </w:p>
    <w:p>
      <w:pPr>
        <w:pStyle w:val="ListBullet"/>
      </w:pPr>
      <w:r>
        <w:rPr>
          <w:b/>
        </w:rPr>
        <w:t>QR code</w:t>
      </w:r>
      <w:r>
        <w:t xml:space="preserve"> — encodes </w:t>
      </w:r>
      <w:r>
        <w:rPr>
          <w:rFonts w:ascii="Courier New" w:hAnsi="Courier New"/>
        </w:rPr>
        <w:t>HTTPS://FEB-COMPOSITES.WEB.APP/Q/&lt;ID&gt;</w:t>
      </w:r>
      <w:r>
        <w:t xml:space="preserve">. Uppercase, no query string, no fragment. Scanning it with any phone camera opens a public page naming the object, needing no account and no signal. This is also why the R&amp;D mark below is printed </w:t>
      </w:r>
      <w:r>
        <w:rPr>
          <w:i/>
        </w:rPr>
        <w:t>beside</w:t>
      </w:r>
      <w:r>
        <w:t xml:space="preserve"> the code and never encoded </w:t>
      </w:r>
      <w:r>
        <w:rPr>
          <w:i/>
        </w:rPr>
        <w:t>into</w:t>
      </w:r>
      <w:r>
        <w:t xml:space="preserve"> it: a suffix costs a character budget and an error-correction level, a query string leaves alphanumeric mode entirely, and either would make reclassifying a build a relabelling job. The mark is on the card and mirrored to the scan page; the code itself never changes.</w:t>
      </w:r>
    </w:p>
    <w:p>
      <w:pPr>
        <w:pStyle w:val="ListBullet"/>
      </w:pPr>
      <w:r>
        <w:rPr>
          <w:b/>
        </w:rPr>
        <w:t>Mark</w:t>
      </w:r>
      <w:r>
        <w:t xml:space="preserve"> — a hand-written identifier in oil-based paint marker, used where a label cannot go (§7.4, §7.7).</w:t>
      </w:r>
    </w:p>
    <w:p>
      <w:pPr>
        <w:pStyle w:val="ListBullet"/>
      </w:pPr>
      <w:r>
        <w:rPr>
          <w:b/>
        </w:rPr>
        <w:t>R&amp;D mark</w:t>
      </w:r>
      <w:r>
        <w:t xml:space="preserve"> — the word </w:t>
      </w:r>
      <w:r>
        <w:rPr>
          <w:rFonts w:ascii="Courier New" w:hAnsi="Courier New"/>
        </w:rPr>
        <w:t>R&amp;D</w:t>
      </w:r>
      <w:r>
        <w:t xml:space="preserve">, in a ruled box on the ID line of the label, for an object built under an R&amp;D work order (CS-013 §4). It is </w:t>
      </w:r>
      <w:r>
        <w:rPr>
          <w:b/>
        </w:rPr>
        <w:t>not a class word</w:t>
      </w:r>
      <w:r>
        <w:t xml:space="preserve"> and must never join the list above: the class-word list maps one-to-one onto ID prefixes and must never change under the reader, whereas R&amp;D qualifies a class. There is no such thing as an </w:t>
      </w:r>
      <w:r>
        <w:rPr>
          <w:rFonts w:ascii="Courier New" w:hAnsi="Courier New"/>
        </w:rPr>
        <w:t>R&amp;D PART</w:t>
      </w:r>
      <w:r>
        <w:t xml:space="preserve"> class — there is a PART that is marked R&amp;D. On the printed traveler the same fact reads in full: </w:t>
      </w:r>
      <w:r>
        <w:rPr>
          <w:rFonts w:ascii="Courier New" w:hAnsi="Courier New"/>
        </w:rPr>
        <w:t>R&amp;D — NOT A SEASON DELIVERABLE</w:t>
      </w:r>
      <w:r>
        <w:t>.</w:t>
      </w:r>
    </w:p>
    <w:p>
      <w:pPr>
        <w:pStyle w:val="ListBullet"/>
      </w:pPr>
      <w:r>
        <w:rPr>
          <w:b/>
        </w:rPr>
        <w:t>Engraving</w:t>
      </w:r>
      <w:r>
        <w:t xml:space="preserve"> — the ID cut into a mold during machining. The record of record (§7.4).</w:t>
      </w:r>
    </w:p>
    <w:p>
      <w:pPr>
        <w:ind w:left="432"/>
      </w:pPr>
      <w:r>
        <w:rPr>
          <w:b/>
        </w:rPr>
        <w:t xml:space="preserve">⚠ CAUTION: </w:t>
      </w:r>
      <w:r>
        <w:t>The QR payload must stay inside QR alphanumeric mode (</w:t>
      </w:r>
      <w:r>
        <w:rPr>
          <w:rFonts w:ascii="Courier New" w:hAnsi="Courier New"/>
        </w:rPr>
        <w:t>0-9 A-Z space $%*+-./:</w:t>
      </w:r>
      <w:r>
        <w:t xml:space="preserve">, per R8). One lowercase letter, one </w:t>
      </w:r>
      <w:r>
        <w:rPr>
          <w:rFonts w:ascii="Courier New" w:hAnsi="Courier New"/>
        </w:rPr>
        <w:t>?utm=</w:t>
      </w:r>
      <w:r>
        <w:t xml:space="preserve">, or a </w:t>
      </w:r>
      <w:r>
        <w:rPr>
          <w:rFonts w:ascii="Courier New" w:hAnsi="Courier New"/>
        </w:rPr>
        <w:t>#</w:t>
      </w:r>
      <w:r>
        <w:t xml:space="preserve"> fragment pushes the code from version 3 to version 4 and drops its error correction from 25% to 15%, at the same physical size. The printed label looks identical and simply scans worse once it has resin on it.</w:t>
      </w:r>
    </w:p>
    <w:p>
      <w:pPr>
        <w:pStyle w:val="Heading2"/>
      </w:pPr>
      <w:r>
        <w:t>5. Equipment &amp; Materials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003262"/>
          </w:tcPr>
          <w:p>
            <w:r>
              <w:rPr>
                <w:b/>
                <w:color w:val="FFFFFF"/>
                <w:sz w:val="19"/>
              </w:rPr>
              <w:t>Item</w:t>
            </w:r>
          </w:p>
        </w:tc>
        <w:tc>
          <w:tcPr>
            <w:tcW w:type="dxa" w:w="2412"/>
            <w:shd w:val="clear" w:fill="003262"/>
          </w:tcPr>
          <w:p>
            <w:r>
              <w:rPr>
                <w:b/>
                <w:color w:val="FFFFFF"/>
                <w:sz w:val="19"/>
              </w:rPr>
              <w:t>Spec / product</w:t>
            </w:r>
          </w:p>
        </w:tc>
        <w:tc>
          <w:tcPr>
            <w:tcW w:type="dxa" w:w="2412"/>
            <w:shd w:val="clear" w:fill="003262"/>
          </w:tcPr>
          <w:p>
            <w:r>
              <w:rPr>
                <w:b/>
                <w:color w:val="FFFFFF"/>
                <w:sz w:val="19"/>
              </w:rPr>
              <w:t>Source</w:t>
            </w:r>
          </w:p>
        </w:tc>
        <w:tc>
          <w:tcPr>
            <w:tcW w:type="dxa" w:w="2412"/>
            <w:shd w:val="clear" w:fill="003262"/>
          </w:tcPr>
          <w:p>
            <w:r>
              <w:rPr>
                <w:b/>
                <w:color w:val="FFFFFF"/>
                <w:sz w:val="19"/>
              </w:rPr>
              <w:t>Notes</w:t>
            </w:r>
          </w:p>
        </w:tc>
      </w:tr>
      <w:tr>
        <w:tc>
          <w:tcPr>
            <w:tcW w:type="dxa" w:w="2412"/>
          </w:tcPr>
          <w:p>
            <w:r>
              <w:rPr>
                <w:sz w:val="19"/>
              </w:rPr>
              <w:t>Paint marker</w:t>
            </w:r>
          </w:p>
        </w:tc>
        <w:tc>
          <w:tcPr>
            <w:tcW w:type="dxa" w:w="2412"/>
          </w:tcPr>
          <w:p>
            <w:r>
              <w:rPr>
                <w:sz w:val="19"/>
              </w:rPr>
              <w:t>Oil-based paint marker, fine, white or silver</w:t>
            </w:r>
          </w:p>
        </w:tc>
        <w:tc>
          <w:tcPr>
            <w:tcW w:type="dxa" w:w="2412"/>
          </w:tcPr>
          <w:p>
            <w:r>
              <w:rPr>
                <w:sz w:val="19"/>
              </w:rPr>
              <w:t>Campus store, ~$5</w:t>
            </w:r>
          </w:p>
        </w:tc>
        <w:tc>
          <w:tcPr>
            <w:tcW w:type="dxa" w:w="2412"/>
          </w:tcPr>
          <w:p>
            <w:r>
              <w:rPr>
                <w:b/>
                <w:sz w:val="19"/>
              </w:rPr>
              <w:t>Replaces the Sharpie for every hand mark.</w:t>
            </w:r>
            <w:r>
              <w:rPr>
                <w:sz w:val="19"/>
              </w:rPr>
              <w:t xml:space="preserve"> A standard Sharpie is IPA-soluble, and the process wipes with ≥90% IPA at every stage (R7).</w:t>
            </w:r>
          </w:p>
        </w:tc>
      </w:tr>
      <w:tr>
        <w:tc>
          <w:tcPr>
            <w:tcW w:type="dxa" w:w="2412"/>
          </w:tcPr>
          <w:p>
            <w:r>
              <w:rPr>
                <w:sz w:val="19"/>
              </w:rPr>
              <w:t>Label stock, everyday</w:t>
            </w:r>
          </w:p>
        </w:tc>
        <w:tc>
          <w:tcPr>
            <w:tcW w:type="dxa" w:w="2412"/>
          </w:tcPr>
          <w:p>
            <w:r>
              <w:rPr>
                <w:sz w:val="19"/>
              </w:rPr>
              <w:t>Avery 5161, 1 × 4 in, 20 per sheet</w:t>
            </w:r>
          </w:p>
        </w:tc>
        <w:tc>
          <w:tcPr>
            <w:tcW w:type="dxa" w:w="2412"/>
          </w:tcPr>
          <w:p>
            <w:r>
              <w:rPr>
                <w:sz w:val="19"/>
              </w:rPr>
              <w:t>Any office supplier</w:t>
            </w:r>
          </w:p>
        </w:tc>
        <w:tc>
          <w:tcPr>
            <w:tcW w:type="dxa" w:w="2412"/>
          </w:tcPr>
          <w:p>
            <w:r>
              <w:rPr>
                <w:sz w:val="19"/>
              </w:rPr>
              <w:t>Prints on the existing B&amp;W laser.</w:t>
            </w:r>
          </w:p>
        </w:tc>
      </w:tr>
      <w:tr>
        <w:tc>
          <w:tcPr>
            <w:tcW w:type="dxa" w:w="2412"/>
          </w:tcPr>
          <w:p>
            <w:r>
              <w:rPr>
                <w:sz w:val="19"/>
              </w:rPr>
              <w:t>Label stock, chemicals</w:t>
            </w:r>
          </w:p>
        </w:tc>
        <w:tc>
          <w:tcPr>
            <w:tcW w:type="dxa" w:w="2412"/>
          </w:tcPr>
          <w:p>
            <w:r>
              <w:rPr>
                <w:sz w:val="19"/>
              </w:rPr>
              <w:t>Avery 5522 WeatherProof polyester, 1⅓ × 4 in, 14 per sheet</w:t>
            </w:r>
          </w:p>
        </w:tc>
        <w:tc>
          <w:tcPr>
            <w:tcW w:type="dxa" w:w="2412"/>
          </w:tcPr>
          <w:p>
            <w:r>
              <w:rPr>
                <w:sz w:val="19"/>
              </w:rPr>
              <w:t>Any office supplier</w:t>
            </w:r>
          </w:p>
        </w:tc>
        <w:tc>
          <w:tcPr>
            <w:tcW w:type="dxa" w:w="2412"/>
          </w:tcPr>
          <w:p>
            <w:r>
              <w:rPr>
                <w:sz w:val="19"/>
              </w:rPr>
              <w:t>Survives a hardener drip; paper does not. The extra third of an inch carries the hazard strip.</w:t>
            </w:r>
          </w:p>
        </w:tc>
      </w:tr>
      <w:tr>
        <w:tc>
          <w:tcPr>
            <w:tcW w:type="dxa" w:w="2412"/>
          </w:tcPr>
          <w:p>
            <w:r>
              <w:rPr>
                <w:sz w:val="19"/>
              </w:rPr>
              <w:t>Overlaminate</w:t>
            </w:r>
          </w:p>
        </w:tc>
        <w:tc>
          <w:tcPr>
            <w:tcW w:type="dxa" w:w="2412"/>
          </w:tcPr>
          <w:p>
            <w:r>
              <w:rPr>
                <w:sz w:val="19"/>
              </w:rPr>
              <w:t>3 in clear packing tape</w:t>
            </w:r>
          </w:p>
        </w:tc>
        <w:tc>
          <w:tcPr>
            <w:tcW w:type="dxa" w:w="2412"/>
          </w:tcPr>
          <w:p>
            <w:r>
              <w:rPr>
                <w:sz w:val="19"/>
              </w:rPr>
              <w:t>Already in the shop</w:t>
            </w:r>
          </w:p>
        </w:tc>
        <w:tc>
          <w:tcPr>
            <w:tcW w:type="dxa" w:w="2412"/>
          </w:tcPr>
          <w:p>
            <w:r>
              <w:rPr>
                <w:sz w:val="19"/>
              </w:rPr>
              <w:t xml:space="preserve">§7.8. Must be </w:t>
            </w:r>
            <w:r>
              <w:rPr>
                <w:b/>
                <w:sz w:val="19"/>
              </w:rPr>
              <w:t>wider than the label</w:t>
            </w:r>
            <w:r>
              <w:rPr>
                <w:sz w:val="19"/>
              </w:rPr>
              <w:t>.</w:t>
            </w:r>
          </w:p>
        </w:tc>
      </w:tr>
      <w:tr>
        <w:tc>
          <w:tcPr>
            <w:tcW w:type="dxa" w:w="2412"/>
          </w:tcPr>
          <w:p>
            <w:r>
              <w:rPr>
                <w:sz w:val="19"/>
              </w:rPr>
              <w:t>Label printer</w:t>
            </w:r>
          </w:p>
        </w:tc>
        <w:tc>
          <w:tcPr>
            <w:tcW w:type="dxa" w:w="2412"/>
          </w:tcPr>
          <w:p>
            <w:r>
              <w:rPr>
                <w:sz w:val="19"/>
              </w:rPr>
              <w:t>Brother PT-D610BT with TZe-251 24 mm laminated tape</w:t>
            </w:r>
          </w:p>
        </w:tc>
        <w:tc>
          <w:tcPr>
            <w:tcW w:type="dxa" w:w="2412"/>
          </w:tcPr>
          <w:p>
            <w:r>
              <w:rPr>
                <w:sz w:val="19"/>
              </w:rPr>
              <w:t>~$115, tape ~$19/roll</w:t>
            </w:r>
          </w:p>
        </w:tc>
        <w:tc>
          <w:tcPr>
            <w:tcW w:type="dxa" w:w="2412"/>
          </w:tcPr>
          <w:p>
            <w:r>
              <w:rPr>
                <w:b/>
                <w:sz w:val="19"/>
              </w:rPr>
              <w:t>Needs ordering approval under CS-012.</w:t>
            </w:r>
            <w:r>
              <w:rPr>
                <w:sz w:val="19"/>
              </w:rPr>
              <w:t xml:space="preserve"> Not required to start: §7.8 is the documented zero-cost path and stays the fallback.</w:t>
            </w:r>
          </w:p>
        </w:tc>
      </w:tr>
      <w:tr>
        <w:tc>
          <w:tcPr>
            <w:tcW w:type="dxa" w:w="2412"/>
          </w:tcPr>
          <w:p>
            <w:r>
              <w:rPr>
                <w:sz w:val="19"/>
              </w:rPr>
              <w:t>Tags</w:t>
            </w:r>
          </w:p>
        </w:tc>
        <w:tc>
          <w:tcPr>
            <w:tcW w:type="dxa" w:w="2412"/>
          </w:tcPr>
          <w:p>
            <w:r>
              <w:rPr>
                <w:sz w:val="19"/>
              </w:rPr>
              <w:t>Laminating pouches and 100 mm zip ties</w:t>
            </w:r>
          </w:p>
        </w:tc>
        <w:tc>
          <w:tcPr>
            <w:tcW w:type="dxa" w:w="2412"/>
          </w:tcPr>
          <w:p>
            <w:r>
              <w:rPr>
                <w:sz w:val="19"/>
              </w:rPr>
              <w:t>Campus store</w:t>
            </w:r>
          </w:p>
        </w:tc>
        <w:tc>
          <w:tcPr>
            <w:tcW w:type="dxa" w:w="2412"/>
          </w:tcPr>
          <w:p>
            <w:r>
              <w:rPr>
                <w:sz w:val="19"/>
              </w:rPr>
              <w:t>For anything tag-able: rolls, remnants, bins, coupon sets.</w:t>
            </w:r>
          </w:p>
        </w:tc>
      </w:tr>
    </w:tbl>
    <w:p/>
    <w:p>
      <w:pPr>
        <w:ind w:left="432"/>
      </w:pPr>
      <w:r>
        <w:rPr>
          <w:b/>
        </w:rPr>
        <w:t xml:space="preserve">⚠ CAUTION: </w:t>
      </w:r>
      <w:r>
        <w:t>Rev B's §5 said "Nothing that needs ordering approval." That stopped being true the moment a label printer entered the plan. The printer goes through CS-012 like any other purchase; nothing else on this list does.</w:t>
      </w:r>
    </w:p>
    <w:p>
      <w:pPr>
        <w:pStyle w:val="Heading2"/>
      </w:pPr>
      <w:r>
        <w:t>6. Safety</w:t>
      </w:r>
    </w:p>
    <w:p>
      <w:r>
        <w:t xml:space="preserve">Labeling has no physical hazards of its own. Three rules exist to stop labeling from </w:t>
      </w:r>
      <w:r>
        <w:rPr>
          <w:i/>
        </w:rPr>
        <w:t>creating</w:t>
      </w:r>
      <w:r>
        <w:t xml:space="preserve"> hazards or scrap:</w:t>
      </w:r>
    </w:p>
    <w:p>
      <w:pPr>
        <w:pStyle w:val="ListNumber"/>
      </w:pPr>
      <w:r>
        <w:rPr>
          <w:b/>
        </w:rPr>
        <w:t>Never label a mold's working surface.</w:t>
      </w:r>
      <w:r>
        <w:t xml:space="preserve"> Anything on the tool face telegraphs through into the part; a 0.08 mm label edge prints through two plies.</w:t>
      </w:r>
    </w:p>
    <w:p>
      <w:pPr>
        <w:pStyle w:val="ListNumber"/>
      </w:pPr>
      <w:r>
        <w:rPr>
          <w:b/>
        </w:rPr>
        <w:t>Never label within 40 mm of a flange perimeter, on either face.</w:t>
      </w:r>
      <w:r>
        <w:t xml:space="preserve"> Tacky tape is 12.7 mm wide, and a label edge under or across the seal is a leak channel you will not find at 27 inHg. CS-006 §7.4.3 already names tacky-tape seams as the first place to hunt leaks; do not add a second cause.</w:t>
      </w:r>
    </w:p>
    <w:p>
      <w:pPr>
        <w:pStyle w:val="ListNumber"/>
      </w:pPr>
      <w:r>
        <w:rPr>
          <w:b/>
        </w:rPr>
        <w:t>No silicone-adhesive tape anywhere in the shop</w:t>
      </w:r>
      <w:r>
        <w:t>, which is Kapton and most amber films. Trace silicone causes fisheyes in clear coat and kills DP420 adhesion. Its heat resistance buys nothing here: there is no oven and no post-cure (CS-006 §5).</w:t>
      </w:r>
    </w:p>
    <w:p>
      <w:pPr>
        <w:pStyle w:val="Heading2"/>
      </w:pPr>
      <w:r>
        <w:t>7. Procedure</w:t>
      </w:r>
    </w:p>
    <w:p>
      <w:pPr>
        <w:pStyle w:val="Heading3"/>
      </w:pPr>
      <w:r>
        <w:t>7.1 Printing a label</w:t>
      </w:r>
    </w:p>
    <w:p>
      <w:pPr>
        <w:pStyle w:val="ListNumber"/>
      </w:pPr>
      <w:r>
        <w:t xml:space="preserve">Open the record in the app. Press </w:t>
      </w:r>
      <w:r>
        <w:rPr>
          <w:b/>
        </w:rPr>
        <w:t>Label</w:t>
      </w:r>
      <w:r>
        <w:t xml:space="preserve"> on a work order, part, mold, material lot or item, or use </w:t>
      </w:r>
      <w:r>
        <w:rPr>
          <w:b/>
        </w:rPr>
        <w:t>Labels</w:t>
      </w:r>
      <w:r>
        <w:t xml:space="preserve"> under Reports for a batch.</w:t>
      </w:r>
    </w:p>
    <w:p>
      <w:pPr>
        <w:pStyle w:val="ListNumber"/>
      </w:pPr>
      <w:r>
        <w:t>Choose the stock: Avery 5161 for everyday, 5522 WeatherProof for anything that will get resin or hardener on it.</w:t>
      </w:r>
    </w:p>
    <w:p>
      <w:pPr>
        <w:pStyle w:val="ListNumber"/>
      </w:pPr>
      <w:r>
        <w:t xml:space="preserve">If the sheet has already been partly used, set </w:t>
      </w:r>
      <w:r>
        <w:rPr>
          <w:b/>
        </w:rPr>
        <w:t>Start at cell</w:t>
      </w:r>
      <w:r>
        <w:t xml:space="preserve"> to the first unused one. A three-label batch onto a fresh sheet wastes seventeen.</w:t>
      </w:r>
    </w:p>
    <w:p>
      <w:pPr>
        <w:pStyle w:val="ListNumber"/>
      </w:pPr>
      <w:r>
        <w:t xml:space="preserve">Leave the calibration bar on. Print, then </w:t>
      </w:r>
      <w:r>
        <w:rPr>
          <w:b/>
        </w:rPr>
        <w:t>measure it with a steel rule: it must be exactly 100 mm.</w:t>
      </w:r>
      <w:r>
        <w:t xml:space="preserve"> If it is not, the browser applied "Fit to page" scaling and every label on the sheet is misregistered. Set printer scaling to 100% or Actual Size and reprint.</w:t>
      </w:r>
    </w:p>
    <w:p>
      <w:pPr>
        <w:pStyle w:val="ListNumber"/>
      </w:pPr>
      <w:r>
        <w:t>Peel and apply per §7.2.</w:t>
      </w:r>
    </w:p>
    <w:p>
      <w:pPr>
        <w:ind w:left="432"/>
      </w:pPr>
      <w:r>
        <w:rPr>
          <w:b/>
        </w:rPr>
        <w:t xml:space="preserve">⚠ CAUTION: </w:t>
      </w:r>
      <w:r>
        <w:t>Browsers apply that scaling silently. Ten seconds with a rule is cheaper than a wasted sheet of polyester.</w:t>
      </w:r>
    </w:p>
    <w:p>
      <w:pPr>
        <w:pStyle w:val="Heading3"/>
      </w:pPr>
      <w:r>
        <w:t>7.2 Where each class of object gets its label</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003262"/>
          </w:tcPr>
          <w:p>
            <w:r>
              <w:rPr>
                <w:b/>
                <w:color w:val="FFFFFF"/>
                <w:sz w:val="19"/>
              </w:rPr>
              <w:t>Object</w:t>
            </w:r>
          </w:p>
        </w:tc>
        <w:tc>
          <w:tcPr>
            <w:tcW w:type="dxa" w:w="3216"/>
            <w:shd w:val="clear" w:fill="003262"/>
          </w:tcPr>
          <w:p>
            <w:r>
              <w:rPr>
                <w:b/>
                <w:color w:val="FFFFFF"/>
                <w:sz w:val="19"/>
              </w:rPr>
              <w:t>Where it goes</w:t>
            </w:r>
          </w:p>
        </w:tc>
        <w:tc>
          <w:tcPr>
            <w:tcW w:type="dxa" w:w="3216"/>
            <w:shd w:val="clear" w:fill="003262"/>
          </w:tcPr>
          <w:p>
            <w:r>
              <w:rPr>
                <w:b/>
                <w:color w:val="FFFFFF"/>
                <w:sz w:val="19"/>
              </w:rPr>
              <w:t>Media</w:t>
            </w:r>
          </w:p>
        </w:tc>
      </w:tr>
      <w:tr>
        <w:tc>
          <w:tcPr>
            <w:tcW w:type="dxa" w:w="3216"/>
          </w:tcPr>
          <w:p>
            <w:r>
              <w:rPr>
                <w:sz w:val="19"/>
              </w:rPr>
              <w:t>Mold</w:t>
            </w:r>
          </w:p>
        </w:tc>
        <w:tc>
          <w:tcPr>
            <w:tcW w:type="dxa" w:w="3216"/>
          </w:tcPr>
          <w:p>
            <w:r>
              <w:rPr>
                <w:b/>
                <w:sz w:val="19"/>
              </w:rPr>
              <w:t>Back face</w:t>
            </w:r>
            <w:r>
              <w:rPr>
                <w:sz w:val="19"/>
              </w:rPr>
              <w:t>, at least 25 mm inboard of the outline on every side. Never the working surface, never the flange (§6).</w:t>
            </w:r>
          </w:p>
        </w:tc>
        <w:tc>
          <w:tcPr>
            <w:tcW w:type="dxa" w:w="3216"/>
          </w:tcPr>
          <w:p>
            <w:r>
              <w:rPr>
                <w:sz w:val="19"/>
              </w:rPr>
              <w:t>Engraved plus a printed label (§7.4)</w:t>
            </w:r>
          </w:p>
        </w:tc>
      </w:tr>
      <w:tr>
        <w:tc>
          <w:tcPr>
            <w:tcW w:type="dxa" w:w="3216"/>
          </w:tcPr>
          <w:p>
            <w:r>
              <w:rPr>
                <w:sz w:val="19"/>
              </w:rPr>
              <w:t>Part, at demold</w:t>
            </w:r>
          </w:p>
        </w:tc>
        <w:tc>
          <w:tcPr>
            <w:tcW w:type="dxa" w:w="3216"/>
          </w:tcPr>
          <w:p>
            <w:r>
              <w:rPr>
                <w:sz w:val="19"/>
              </w:rPr>
              <w:t>Trim area, bag side, inside the CAD trim line</w:t>
            </w:r>
          </w:p>
        </w:tc>
        <w:tc>
          <w:tcPr>
            <w:tcW w:type="dxa" w:w="3216"/>
          </w:tcPr>
          <w:p>
            <w:r>
              <w:rPr>
                <w:sz w:val="19"/>
              </w:rPr>
              <w:t>Printed, permanent adhesive</w:t>
            </w:r>
          </w:p>
        </w:tc>
      </w:tr>
      <w:tr>
        <w:tc>
          <w:tcPr>
            <w:tcW w:type="dxa" w:w="3216"/>
          </w:tcPr>
          <w:p>
            <w:r>
              <w:rPr>
                <w:sz w:val="19"/>
              </w:rPr>
              <w:t>Part, after trim</w:t>
            </w:r>
          </w:p>
        </w:tc>
        <w:tc>
          <w:tcPr>
            <w:tcW w:type="dxa" w:w="3216"/>
          </w:tcPr>
          <w:p>
            <w:r>
              <w:rPr>
                <w:sz w:val="19"/>
              </w:rPr>
              <w:t>A hidden face, ≥25 mm from any DP420 bond line, never a face that gets bagged for a secondary bond</w:t>
            </w:r>
          </w:p>
        </w:tc>
        <w:tc>
          <w:tcPr>
            <w:tcW w:type="dxa" w:w="3216"/>
          </w:tcPr>
          <w:p>
            <w:r>
              <w:rPr>
                <w:sz w:val="19"/>
              </w:rPr>
              <w:t>Printed, applied before clear coat (§7.5)</w:t>
            </w:r>
          </w:p>
        </w:tc>
      </w:tr>
      <w:tr>
        <w:tc>
          <w:tcPr>
            <w:tcW w:type="dxa" w:w="3216"/>
          </w:tcPr>
          <w:p>
            <w:r>
              <w:rPr>
                <w:sz w:val="19"/>
              </w:rPr>
              <w:t>Test panel</w:t>
            </w:r>
          </w:p>
        </w:tc>
        <w:tc>
          <w:tcPr>
            <w:tcW w:type="dxa" w:w="3216"/>
          </w:tcPr>
          <w:p>
            <w:r>
              <w:rPr>
                <w:sz w:val="19"/>
              </w:rPr>
              <w:t xml:space="preserve">Bag side, in the offcut margin, </w:t>
            </w:r>
            <w:r>
              <w:rPr>
                <w:b/>
                <w:sz w:val="19"/>
              </w:rPr>
              <w:t>plus</w:t>
            </w:r>
            <w:r>
              <w:rPr>
                <w:sz w:val="19"/>
              </w:rPr>
              <w:t xml:space="preserve"> coupon IDs marked across the cut lines before sawing (§7.6)</w:t>
            </w:r>
          </w:p>
        </w:tc>
        <w:tc>
          <w:tcPr>
            <w:tcW w:type="dxa" w:w="3216"/>
          </w:tcPr>
          <w:p>
            <w:r>
              <w:rPr>
                <w:sz w:val="19"/>
              </w:rPr>
              <w:t>Printed plus paint marker</w:t>
            </w:r>
          </w:p>
        </w:tc>
      </w:tr>
      <w:tr>
        <w:tc>
          <w:tcPr>
            <w:tcW w:type="dxa" w:w="3216"/>
          </w:tcPr>
          <w:p>
            <w:r>
              <w:rPr>
                <w:sz w:val="19"/>
              </w:rPr>
              <w:t>Tensile coupon</w:t>
            </w:r>
          </w:p>
        </w:tc>
        <w:tc>
          <w:tcPr>
            <w:tcW w:type="dxa" w:w="3216"/>
          </w:tcPr>
          <w:p>
            <w:r>
              <w:rPr>
                <w:b/>
                <w:sz w:val="19"/>
              </w:rPr>
              <w:t>Paint marker on the tab only</w:t>
            </w:r>
            <w:r>
              <w:rPr>
                <w:sz w:val="19"/>
              </w:rPr>
              <w:t>, outside the gauge section. No adhesive label.</w:t>
            </w:r>
          </w:p>
        </w:tc>
        <w:tc>
          <w:tcPr>
            <w:tcW w:type="dxa" w:w="3216"/>
          </w:tcPr>
          <w:p>
            <w:r>
              <w:rPr>
                <w:sz w:val="19"/>
              </w:rPr>
              <w:t>Marker, or a pouch tag on a zip tie through the tab waste</w:t>
            </w:r>
          </w:p>
        </w:tc>
      </w:tr>
      <w:tr>
        <w:tc>
          <w:tcPr>
            <w:tcW w:type="dxa" w:w="3216"/>
          </w:tcPr>
          <w:p>
            <w:r>
              <w:rPr>
                <w:sz w:val="19"/>
              </w:rPr>
              <w:t>Fabric roll</w:t>
            </w:r>
          </w:p>
        </w:tc>
        <w:tc>
          <w:tcPr>
            <w:tcW w:type="dxa" w:w="3216"/>
          </w:tcPr>
          <w:p>
            <w:r>
              <w:rPr>
                <w:sz w:val="19"/>
              </w:rPr>
              <w:t>A tag through the core, on wire or a zip tie</w:t>
            </w:r>
          </w:p>
        </w:tc>
        <w:tc>
          <w:tcPr>
            <w:tcW w:type="dxa" w:w="3216"/>
          </w:tcPr>
          <w:p>
            <w:r>
              <w:rPr>
                <w:sz w:val="19"/>
              </w:rPr>
              <w:t>Printed label on the tag</w:t>
            </w:r>
          </w:p>
        </w:tc>
      </w:tr>
      <w:tr>
        <w:tc>
          <w:tcPr>
            <w:tcW w:type="dxa" w:w="3216"/>
          </w:tcPr>
          <w:p>
            <w:r>
              <w:rPr>
                <w:sz w:val="19"/>
              </w:rPr>
              <w:t>Fabric offcut bag</w:t>
            </w:r>
          </w:p>
        </w:tc>
        <w:tc>
          <w:tcPr>
            <w:tcW w:type="dxa" w:w="3216"/>
          </w:tcPr>
          <w:p>
            <w:r>
              <w:rPr>
                <w:sz w:val="19"/>
              </w:rPr>
              <w:t>On the bag, with a blank field for the remaining length</w:t>
            </w:r>
          </w:p>
        </w:tc>
        <w:tc>
          <w:tcPr>
            <w:tcW w:type="dxa" w:w="3216"/>
          </w:tcPr>
          <w:p>
            <w:r>
              <w:rPr>
                <w:sz w:val="19"/>
              </w:rPr>
              <w:t>Printed, hand-write the quantity</w:t>
            </w:r>
          </w:p>
        </w:tc>
      </w:tr>
      <w:tr>
        <w:tc>
          <w:tcPr>
            <w:tcW w:type="dxa" w:w="3216"/>
          </w:tcPr>
          <w:p>
            <w:r>
              <w:rPr>
                <w:sz w:val="19"/>
              </w:rPr>
              <w:t>Resin, hardener</w:t>
            </w:r>
          </w:p>
        </w:tc>
        <w:tc>
          <w:tcPr>
            <w:tcW w:type="dxa" w:w="3216"/>
          </w:tcPr>
          <w:p>
            <w:r>
              <w:rPr>
                <w:sz w:val="19"/>
              </w:rPr>
              <w:t>On the container</w:t>
            </w:r>
          </w:p>
        </w:tc>
        <w:tc>
          <w:tcPr>
            <w:tcW w:type="dxa" w:w="3216"/>
          </w:tcPr>
          <w:p>
            <w:r>
              <w:rPr>
                <w:b/>
                <w:sz w:val="19"/>
              </w:rPr>
              <w:t>Polyester only</w:t>
            </w:r>
            <w:r>
              <w:rPr>
                <w:sz w:val="19"/>
              </w:rPr>
              <w:t xml:space="preserve"> (5522 or TZe)</w:t>
            </w:r>
          </w:p>
        </w:tc>
      </w:tr>
      <w:tr>
        <w:tc>
          <w:tcPr>
            <w:tcW w:type="dxa" w:w="3216"/>
          </w:tcPr>
          <w:p>
            <w:r>
              <w:rPr>
                <w:sz w:val="19"/>
              </w:rPr>
              <w:t>Mixed pot</w:t>
            </w:r>
          </w:p>
        </w:tc>
        <w:tc>
          <w:tcPr>
            <w:tcW w:type="dxa" w:w="3216"/>
          </w:tcPr>
          <w:p>
            <w:r>
              <w:rPr>
                <w:sz w:val="19"/>
              </w:rPr>
              <w:t>Write-on tape and marker (§7.7). Nothing printed, ever.</w:t>
            </w:r>
          </w:p>
        </w:tc>
        <w:tc>
          <w:tcPr>
            <w:tcW w:type="dxa" w:w="3216"/>
          </w:tcPr>
          <w:p>
            <w:r>
              <w:rPr>
                <w:sz w:val="19"/>
              </w:rPr>
              <w:t>Tape</w:t>
            </w:r>
          </w:p>
        </w:tc>
      </w:tr>
      <w:tr>
        <w:tc>
          <w:tcPr>
            <w:tcW w:type="dxa" w:w="3216"/>
          </w:tcPr>
          <w:p>
            <w:r>
              <w:rPr>
                <w:sz w:val="19"/>
              </w:rPr>
              <w:t>Tooling board sheet</w:t>
            </w:r>
          </w:p>
        </w:tc>
        <w:tc>
          <w:tcPr>
            <w:tcW w:type="dxa" w:w="3216"/>
          </w:tcPr>
          <w:p>
            <w:r>
              <w:rPr>
                <w:sz w:val="19"/>
              </w:rPr>
              <w:t>Direct paint marker on the face, 15 mm characters</w:t>
            </w:r>
          </w:p>
        </w:tc>
        <w:tc>
          <w:tcPr>
            <w:tcW w:type="dxa" w:w="3216"/>
          </w:tcPr>
          <w:p>
            <w:r>
              <w:rPr>
                <w:sz w:val="19"/>
              </w:rPr>
              <w:t>Marker</w:t>
            </w:r>
          </w:p>
        </w:tc>
      </w:tr>
      <w:tr>
        <w:tc>
          <w:tcPr>
            <w:tcW w:type="dxa" w:w="3216"/>
          </w:tcPr>
          <w:p>
            <w:r>
              <w:rPr>
                <w:sz w:val="19"/>
              </w:rPr>
              <w:t>Board remnant</w:t>
            </w:r>
          </w:p>
        </w:tc>
        <w:tc>
          <w:tcPr>
            <w:tcW w:type="dxa" w:w="3216"/>
          </w:tcPr>
          <w:p>
            <w:r>
              <w:rPr>
                <w:sz w:val="19"/>
              </w:rPr>
              <w:t>Marker for the ID, plus a taped tag for dimensions</w:t>
            </w:r>
          </w:p>
        </w:tc>
        <w:tc>
          <w:tcPr>
            <w:tcW w:type="dxa" w:w="3216"/>
          </w:tcPr>
          <w:p>
            <w:r>
              <w:rPr>
                <w:sz w:val="19"/>
              </w:rPr>
              <w:t>Marker plus tag</w:t>
            </w:r>
          </w:p>
        </w:tc>
      </w:tr>
      <w:tr>
        <w:tc>
          <w:tcPr>
            <w:tcW w:type="dxa" w:w="3216"/>
          </w:tcPr>
          <w:p>
            <w:r>
              <w:rPr>
                <w:sz w:val="19"/>
              </w:rPr>
              <w:t>Storage location</w:t>
            </w:r>
          </w:p>
        </w:tc>
        <w:tc>
          <w:tcPr>
            <w:tcW w:type="dxa" w:w="3216"/>
          </w:tcPr>
          <w:p>
            <w:r>
              <w:rPr>
                <w:sz w:val="19"/>
              </w:rPr>
              <w:t>Front edge of the shelf, readable standing up</w:t>
            </w:r>
          </w:p>
        </w:tc>
        <w:tc>
          <w:tcPr>
            <w:tcW w:type="dxa" w:w="3216"/>
          </w:tcPr>
          <w:p>
            <w:r>
              <w:rPr>
                <w:sz w:val="19"/>
              </w:rPr>
              <w:t>Printed</w:t>
            </w:r>
          </w:p>
        </w:tc>
      </w:tr>
      <w:tr>
        <w:tc>
          <w:tcPr>
            <w:tcW w:type="dxa" w:w="3216"/>
          </w:tcPr>
          <w:p>
            <w:r>
              <w:rPr>
                <w:sz w:val="19"/>
              </w:rPr>
              <w:t>Jig, fixture</w:t>
            </w:r>
          </w:p>
        </w:tc>
        <w:tc>
          <w:tcPr>
            <w:tcW w:type="dxa" w:w="3216"/>
          </w:tcPr>
          <w:p>
            <w:r>
              <w:rPr>
                <w:sz w:val="19"/>
              </w:rPr>
              <w:t>A non-clamping face</w:t>
            </w:r>
          </w:p>
        </w:tc>
        <w:tc>
          <w:tcPr>
            <w:tcW w:type="dxa" w:w="3216"/>
          </w:tcPr>
          <w:p>
            <w:r>
              <w:rPr>
                <w:sz w:val="19"/>
              </w:rPr>
              <w:t>Printed; stamped aluminium if it outlives the season</w:t>
            </w:r>
          </w:p>
        </w:tc>
      </w:tr>
    </w:tbl>
    <w:p/>
    <w:p>
      <w:pPr>
        <w:ind w:left="432"/>
      </w:pPr>
      <w:r>
        <w:rPr>
          <w:b/>
        </w:rPr>
        <w:t xml:space="preserve">⚠ CAUTION: </w:t>
      </w:r>
      <w:r>
        <w:t>A coupon label in the gauge section changes the cross-section and can seed the failure; in the grip section it changes thickness and causes slip (R9). Marker on the tab is the only correct answer.</w:t>
      </w:r>
    </w:p>
    <w:p>
      <w:pPr>
        <w:pStyle w:val="Heading3"/>
      </w:pPr>
      <w:r>
        <w:t>7.3 The general rule</w:t>
      </w:r>
    </w:p>
    <w:p>
      <w:r>
        <w:t xml:space="preserve">The durable answer for a </w:t>
      </w:r>
      <w:r>
        <w:rPr>
          <w:b/>
        </w:rPr>
        <w:t>tool</w:t>
      </w:r>
      <w:r>
        <w:t xml:space="preserve"> is subtractive: engrave it. For a </w:t>
      </w:r>
      <w:r>
        <w:rPr>
          <w:b/>
        </w:rPr>
        <w:t>part</w:t>
      </w:r>
      <w:r>
        <w:t xml:space="preserve"> it is encapsulation: put the label under the clear coat. For </w:t>
      </w:r>
      <w:r>
        <w:rPr>
          <w:b/>
        </w:rPr>
        <w:t>everything else</w:t>
      </w:r>
      <w:r>
        <w:t xml:space="preserve"> it is laminated media. Choose in that order.</w:t>
      </w:r>
    </w:p>
    <w:p>
      <w:pPr>
        <w:pStyle w:val="Heading3"/>
      </w:pPr>
      <w:r>
        <w:t>7.4 A mold is identified three times</w:t>
      </w:r>
    </w:p>
    <w:p>
      <w:r>
        <w:t>There is no moment when a flange label is clean: XCR goes over the whole working surface and the flanges, then four coats of wax, then PVA. So a mold gets three artifacts with three lifetimes.</w:t>
      </w:r>
    </w:p>
    <w:p>
      <w:pPr>
        <w:pStyle w:val="ListNumber"/>
      </w:pPr>
      <w:r>
        <w:rPr>
          <w:b/>
        </w:rPr>
        <w:t>At glue-up (CS-003 §7.3).</w:t>
      </w:r>
      <w:r>
        <w:t xml:space="preserve"> Mark the part name in paint marker, 15 mm characters, on </w:t>
      </w:r>
      <w:r>
        <w:rPr>
          <w:b/>
        </w:rPr>
        <w:t>two adjacent side faces</w:t>
      </w:r>
      <w:r>
        <w:t xml:space="preserve"> of the glued stack. Between glue-up and the CNC slot a glued block sits on a shelf beside three other glued blocks, which is the highest-confusion and lowest-cost-to-fix moment in the whole process. Mark faces the toolpath will remove less than 6 mm from, or mark the bottom.</w:t>
      </w:r>
    </w:p>
    <w:p>
      <w:pPr>
        <w:pStyle w:val="ListNumber"/>
      </w:pPr>
      <w:r>
        <w:rPr>
          <w:b/>
        </w:rPr>
        <w:t>At machining (CS-005).</w:t>
      </w:r>
      <w:r>
        <w:t xml:space="preserve"> Engrave the mold ID on the back face: 6 mm cap height, 1.0 mm deep, single-line font, 3.175 mm ball or 90° V-bit. The machine is already set up and the part already fixtured, so it costs about 90 seconds. </w:t>
      </w:r>
      <w:r>
        <w:rPr>
          <w:b/>
        </w:rPr>
        <w:t>This is the record of record.</w:t>
      </w:r>
      <w:r>
        <w:t xml:space="preserve"> It survives IPA, acetone, four coats of wax, PVA, sanding, the label falling off, and the printer being broken. Every other layer is a convenience wrapped around it.</w:t>
      </w:r>
    </w:p>
    <w:p>
      <w:pPr>
        <w:pStyle w:val="ListNumber"/>
      </w:pPr>
      <w:r>
        <w:rPr>
          <w:b/>
        </w:rPr>
        <w:t>At the end of sealing (CS-004 §7, step 4 "Identify").</w:t>
      </w:r>
      <w:r>
        <w:t xml:space="preserve"> After the fourth wax coat is buffed and the PVA is dry, so every wet operation is finished. Scuff a patch of the back face to 220 grit, wipe with IPA, apply the printed label. Tooling board is porous; without the scuff the adhesive has nothing to key into and the label curls off within a month.</w:t>
      </w:r>
    </w:p>
    <w:p>
      <w:pPr>
        <w:ind w:left="432"/>
      </w:pPr>
      <w:r>
        <w:rPr>
          <w:b/>
        </w:rPr>
        <w:t xml:space="preserve">⚠ CAUTION: </w:t>
      </w:r>
      <w:r>
        <w:t>Do not apply the printed label before sealing. It either gets brushed over with XCR, becoming a permanent bump in the seal coat, or it gets peeled off and leaves adhesive that XCR will not wet out.</w:t>
      </w:r>
    </w:p>
    <w:p>
      <w:r>
        <w:rPr>
          <w:b/>
        </w:rPr>
        <w:t>Re-sealing.</w:t>
      </w:r>
      <w:r>
        <w:t xml:space="preserve"> When a mold is stripped and re-sealed, the old label comes off with the strip and a </w:t>
      </w:r>
      <w:r>
        <w:rPr>
          <w:b/>
        </w:rPr>
        <w:t>new one is printed</w:t>
      </w:r>
      <w:r>
        <w:t xml:space="preserve">, carrying the incremented parts-pulled count and the new seal date. That is a feature: a label reading </w:t>
      </w:r>
      <w:r>
        <w:rPr>
          <w:rFonts w:ascii="Courier New" w:hAnsi="Courier New"/>
        </w:rPr>
        <w:t>SEALED 2025-11-02 · USES 09</w:t>
      </w:r>
      <w:r>
        <w:t xml:space="preserve"> is telling you something important, and forcing the reprint is how it stays true.</w:t>
      </w:r>
    </w:p>
    <w:p>
      <w:pPr>
        <w:pStyle w:val="Heading3"/>
      </w:pPr>
      <w:r>
        <w:t>7.5 A part's label moves once, by printing two</w:t>
      </w:r>
    </w:p>
    <w:p>
      <w:r>
        <w:t>Do not peel and re-stick. A label peeled off a demolded part carries wax and PVA on its adhesive. It will not restick to a freshly sanded face, and if it does, it puts release agent onto a surface about to be clear-coated.</w:t>
      </w:r>
    </w:p>
    <w:p>
      <w:pPr>
        <w:pStyle w:val="ListNumber"/>
      </w:pPr>
      <w:r>
        <w:rPr>
          <w:b/>
        </w:rPr>
        <w:t>At demold (CS-006 / CS-007).</w:t>
      </w:r>
      <w:r>
        <w:t xml:space="preserve"> Print </w:t>
      </w:r>
      <w:r>
        <w:rPr>
          <w:b/>
        </w:rPr>
        <w:t>two identical labels</w:t>
      </w:r>
      <w:r>
        <w:t>. Apply label A to the trim area on the bag side, inside the CAD trim line. Staple label B to the work order traveler.</w:t>
      </w:r>
    </w:p>
    <w:p>
      <w:pPr>
        <w:pStyle w:val="ListNumber"/>
      </w:pPr>
      <w:r>
        <w:rPr>
          <w:b/>
        </w:rPr>
        <w:t>At trim (CS-009).</w:t>
      </w:r>
      <w:r>
        <w:t xml:space="preserve"> Label A is cut off and discarded with the trim. Identity now lives on the traveler, which is physically with the part.</w:t>
      </w:r>
    </w:p>
    <w:p>
      <w:pPr>
        <w:pStyle w:val="ListNumber"/>
      </w:pPr>
      <w:r>
        <w:rPr>
          <w:b/>
        </w:rPr>
        <w:t>After sanding, before clear coat (CS-009).</w:t>
      </w:r>
      <w:r>
        <w:t xml:space="preserve"> Apply label B to the scuffed, IPA-wiped hidden face.</w:t>
      </w:r>
    </w:p>
    <w:p>
      <w:pPr>
        <w:pStyle w:val="ListNumber"/>
      </w:pPr>
      <w:r>
        <w:rPr>
          <w:b/>
        </w:rPr>
        <w:t>Clear coat (CS-009).</w:t>
      </w:r>
      <w:r>
        <w:t xml:space="preserve"> The acrylic urethane goes over label B where geometry allows, encapsulating it permanently.</w:t>
      </w:r>
    </w:p>
    <w:p>
      <w:pPr>
        <w:pStyle w:val="Heading3"/>
      </w:pPr>
      <w:r>
        <w:t>7.6 What the label says</w:t>
      </w:r>
    </w:p>
    <w:p>
      <w:r>
        <w:t xml:space="preserve">Every label carries the ID, the class word and the name. The line under those is </w:t>
      </w:r>
      <w:r>
        <w:rPr>
          <w:b/>
        </w:rPr>
        <w:t>the one fact that identifies that class of object</w:t>
      </w:r>
      <w:r>
        <w:t>, and it is the reason the label is worth printing:</w:t>
      </w:r>
    </w:p>
    <w:tbl>
      <w:tblPr>
        <w:tblStyle w:val="TableGrid"/>
        <w:tblW w:type="auto" w:w="0"/>
        <w:jc w:val="center"/>
        <w:tblLook w:firstColumn="1" w:firstRow="1" w:lastColumn="0" w:lastRow="0" w:noHBand="0" w:noVBand="1" w:val="04A0"/>
      </w:tblPr>
      <w:tblGrid>
        <w:gridCol w:w="4824"/>
        <w:gridCol w:w="4824"/>
      </w:tblGrid>
      <w:tr>
        <w:tc>
          <w:tcPr>
            <w:tcW w:type="dxa" w:w="4824"/>
            <w:shd w:val="clear" w:fill="003262"/>
          </w:tcPr>
          <w:p>
            <w:r>
              <w:rPr>
                <w:b/>
                <w:color w:val="FFFFFF"/>
                <w:sz w:val="19"/>
              </w:rPr>
              <w:t>Class</w:t>
            </w:r>
          </w:p>
        </w:tc>
        <w:tc>
          <w:tcPr>
            <w:tcW w:type="dxa" w:w="4824"/>
            <w:shd w:val="clear" w:fill="003262"/>
          </w:tcPr>
          <w:p>
            <w:r>
              <w:rPr>
                <w:b/>
                <w:color w:val="FFFFFF"/>
                <w:sz w:val="19"/>
              </w:rPr>
              <w:t>The identifying fact</w:t>
            </w:r>
          </w:p>
        </w:tc>
      </w:tr>
      <w:tr>
        <w:tc>
          <w:tcPr>
            <w:tcW w:type="dxa" w:w="4824"/>
          </w:tcPr>
          <w:p>
            <w:r>
              <w:rPr>
                <w:sz w:val="19"/>
              </w:rPr>
              <w:t>Part, test panel</w:t>
            </w:r>
          </w:p>
        </w:tc>
        <w:tc>
          <w:tcPr>
            <w:tcW w:type="dxa" w:w="4824"/>
          </w:tcPr>
          <w:p>
            <w:r>
              <w:rPr>
                <w:b/>
                <w:sz w:val="19"/>
              </w:rPr>
              <w:t>The layup stack</w:t>
            </w:r>
            <w:r>
              <w:rPr>
                <w:sz w:val="19"/>
              </w:rPr>
              <w:t>, in CS-002 shorthand (</w:t>
            </w:r>
            <w:r>
              <w:rPr>
                <w:rFonts w:ascii="Courier New" w:hAnsi="Courier New"/>
                <w:sz w:val="19"/>
              </w:rPr>
              <w:t>6X 195 TWILL + .125 NOMEX</w:t>
            </w:r>
            <w:r>
              <w:rPr>
                <w:sz w:val="19"/>
              </w:rPr>
              <w:t>)</w:t>
            </w:r>
          </w:p>
        </w:tc>
      </w:tr>
      <w:tr>
        <w:tc>
          <w:tcPr>
            <w:tcW w:type="dxa" w:w="4824"/>
          </w:tcPr>
          <w:p>
            <w:r>
              <w:rPr>
                <w:sz w:val="19"/>
              </w:rPr>
              <w:t>Mold</w:t>
            </w:r>
          </w:p>
        </w:tc>
        <w:tc>
          <w:tcPr>
            <w:tcW w:type="dxa" w:w="4824"/>
          </w:tcPr>
          <w:p>
            <w:r>
              <w:rPr>
                <w:b/>
                <w:sz w:val="19"/>
              </w:rPr>
              <w:t>The sealing record</w:t>
            </w:r>
            <w:r>
              <w:rPr>
                <w:sz w:val="19"/>
              </w:rPr>
              <w:t>: sealed date, by whom, parts pulled, revision</w:t>
            </w:r>
          </w:p>
        </w:tc>
      </w:tr>
      <w:tr>
        <w:tc>
          <w:tcPr>
            <w:tcW w:type="dxa" w:w="4824"/>
          </w:tcPr>
          <w:p>
            <w:r>
              <w:rPr>
                <w:sz w:val="19"/>
              </w:rPr>
              <w:t>Fabric, resin, consumable</w:t>
            </w:r>
          </w:p>
        </w:tc>
        <w:tc>
          <w:tcPr>
            <w:tcW w:type="dxa" w:w="4824"/>
          </w:tcPr>
          <w:p>
            <w:r>
              <w:rPr>
                <w:b/>
                <w:sz w:val="19"/>
              </w:rPr>
              <w:t>The vendor lot number</w:t>
            </w:r>
            <w:r>
              <w:rPr>
                <w:sz w:val="19"/>
              </w:rPr>
              <w:t>, with opened and expiry dates</w:t>
            </w:r>
          </w:p>
        </w:tc>
      </w:tr>
      <w:tr>
        <w:tc>
          <w:tcPr>
            <w:tcW w:type="dxa" w:w="4824"/>
          </w:tcPr>
          <w:p>
            <w:r>
              <w:rPr>
                <w:sz w:val="19"/>
              </w:rPr>
              <w:t>Board, remnant</w:t>
            </w:r>
          </w:p>
        </w:tc>
        <w:tc>
          <w:tcPr>
            <w:tcW w:type="dxa" w:w="4824"/>
          </w:tcPr>
          <w:p>
            <w:r>
              <w:rPr>
                <w:sz w:val="19"/>
              </w:rPr>
              <w:t>Dimensions and density</w:t>
            </w:r>
          </w:p>
        </w:tc>
      </w:tr>
      <w:tr>
        <w:tc>
          <w:tcPr>
            <w:tcW w:type="dxa" w:w="4824"/>
          </w:tcPr>
          <w:p>
            <w:r>
              <w:rPr>
                <w:sz w:val="19"/>
              </w:rPr>
              <w:t>Storage location</w:t>
            </w:r>
          </w:p>
        </w:tc>
        <w:tc>
          <w:tcPr>
            <w:tcW w:type="dxa" w:w="4824"/>
          </w:tcPr>
          <w:p>
            <w:r>
              <w:rPr>
                <w:sz w:val="19"/>
              </w:rPr>
              <w:t>Nothing further; the name is the fact</w:t>
            </w:r>
          </w:p>
        </w:tc>
      </w:tr>
    </w:tbl>
    <w:p/>
    <w:p>
      <w:r>
        <w:t>"What layup stack was used for seat last year" is the question PP-09 records nobody being able to answer. It is on the label, so it can be answered with the phone still in your pocket.</w:t>
      </w:r>
    </w:p>
    <w:p>
      <w:r>
        <w:rPr>
          <w:b/>
        </w:rPr>
        <w:t>R&amp;D builds.</w:t>
      </w:r>
      <w:r>
        <w:t xml:space="preserve"> A part, panel or mold produced under an R&amp;D work order (CS-013 §4) carries the mark </w:t>
      </w:r>
      <w:r>
        <w:rPr>
          <w:rFonts w:ascii="Courier New" w:hAnsi="Courier New"/>
        </w:rPr>
        <w:t>R&amp;D</w:t>
      </w:r>
      <w:r>
        <w:t xml:space="preserve"> in a ruled box on the </w:t>
      </w:r>
      <w:r>
        <w:rPr>
          <w:b/>
        </w:rPr>
        <w:t>ID line</w:t>
      </w:r>
      <w:r>
        <w:t>, to the right of the ID. It sits there rather than on any content line for two reasons. The ID is the only line on the label whose length is capped — 14 characters, §4 — so it is the one place a mark can be put and guaranteed never to truncate; every other line carries variable-length content behind an ellipsis, and the third line is dropped outright whenever the name needs two. And R&amp;D qualifies the object's identity, not the fact printed beneath it. The mark never displaces the identifying fact above, and never displaces the FEB mark.</w:t>
      </w:r>
    </w:p>
    <w:p>
      <w:r>
        <w:t xml:space="preserve">The mark says the part is </w:t>
      </w:r>
      <w:r>
        <w:rPr>
          <w:b/>
        </w:rPr>
        <w:t>not a season deliverable</w:t>
      </w:r>
      <w:r>
        <w:t>. It does not say the part is scrap, a mock-up, a draft, or exempt from this standard. An R&amp;D part is real carbon with a real cost, and it gets the same label, the same record and the same traceability as anything else on the shelf.</w:t>
      </w:r>
    </w:p>
    <w:p>
      <w:r>
        <w:rPr>
          <w:b/>
        </w:rPr>
        <w:t>Coupons.</w:t>
      </w:r>
      <w:r>
        <w:t xml:space="preserve"> Write every coupon ID on the panel </w:t>
      </w:r>
      <w:r>
        <w:rPr>
          <w:b/>
        </w:rPr>
        <w:t>before the first cut</w:t>
      </w:r>
      <w:r>
        <w:t xml:space="preserve">, across the cut lines, so each piece inherits a legible fragment. A coupon is </w:t>
      </w:r>
      <w:r>
        <w:rPr>
          <w:rFonts w:ascii="Courier New" w:hAnsi="Courier New"/>
        </w:rPr>
        <w:t>PNL-SNx-###-Cnn</w:t>
      </w:r>
      <w:r>
        <w:t xml:space="preserve">, where </w:t>
      </w:r>
      <w:r>
        <w:rPr>
          <w:rFonts w:ascii="Courier New" w:hAnsi="Courier New"/>
        </w:rPr>
        <w:t>-Cnn</w:t>
      </w:r>
      <w:r>
        <w:t xml:space="preserve"> is the cut sequence left to right. Coupon labels are text only: 12 mm tape has 8 mm of print height, which cannot hold even a version 1 QR code with its quiet zone.</w:t>
      </w:r>
    </w:p>
    <w:p>
      <w:pPr>
        <w:pStyle w:val="Heading3"/>
      </w:pPr>
      <w:r>
        <w:t>7.7 Mixed chemicals</w:t>
      </w:r>
    </w:p>
    <w:p>
      <w:r>
        <w:t>A pot of XCR has an 8 minute pot life at 20 °C (CS-004 §7.3). Printing a label for it is a process smell: it means someone stood at a printer while pot life burned. Write on the cup:</w:t>
      </w:r>
    </w:p>
    <w:p>
      <w:r>
        <w:rPr>
          <w:rFonts w:ascii="Courier New" w:hAnsi="Courier New"/>
        </w:rPr>
        <w:t>`</w:t>
      </w:r>
    </w:p>
    <w:p>
      <w:r>
        <w:t>IN2 2142 JS          product · time mixed (HHMM, 24 h) · initials</w:t>
      </w:r>
    </w:p>
    <w:p>
      <w:r>
        <w:t>XCR 0906 SS 140g     add batch mass where CS-004 §7.3 requires it</w:t>
      </w:r>
    </w:p>
    <w:p>
      <w:r>
        <w:rPr>
          <w:rFonts w:ascii="Courier New" w:hAnsi="Courier New"/>
        </w:rPr>
        <w:t>`</w:t>
      </w:r>
    </w:p>
    <w:p>
      <w:r>
        <w:t>Four characters of time is what a gloved hand will actually write on a curved cup, and the minute is the only granularity that answers what a pot label is asked: is this still good, and whose is it. Anything unlabeled and curing is treated as hot waste (CS-008).</w:t>
      </w:r>
    </w:p>
    <w:p>
      <w:r>
        <w:t xml:space="preserve">Anything opened but not given a lot record gets an opened sticker: </w:t>
      </w:r>
      <w:r>
        <w:rPr>
          <w:rFonts w:ascii="Courier New" w:hAnsi="Courier New"/>
        </w:rPr>
        <w:t>OPEN 2026-10-14 JS</w:t>
      </w:r>
      <w:r>
        <w:t>.</w:t>
      </w:r>
    </w:p>
    <w:p>
      <w:pPr>
        <w:pStyle w:val="Heading3"/>
      </w:pPr>
      <w:r>
        <w:t>7.8 When there is no label printer</w:t>
      </w:r>
    </w:p>
    <w:p>
      <w:r>
        <w:t>This is the documented path, not a degraded one, and it stays the fallback after a printer is bought.</w:t>
      </w:r>
    </w:p>
    <w:p>
      <w:pPr>
        <w:pStyle w:val="ListNumber"/>
      </w:pPr>
      <w:r>
        <w:t>Print the label sheet on plain paper from the app.</w:t>
      </w:r>
    </w:p>
    <w:p>
      <w:pPr>
        <w:pStyle w:val="ListNumber"/>
      </w:pPr>
      <w:r>
        <w:t>Cut on the guillotine, on the crop marks. Not with scissors.</w:t>
      </w:r>
    </w:p>
    <w:p>
      <w:pPr>
        <w:pStyle w:val="ListNumber"/>
      </w:pPr>
      <w:r>
        <w:rPr>
          <w:b/>
        </w:rPr>
        <w:t>Overlaminate with 3 in clear packing tape, overlapping the label by at least 6 mm on all four sides</w:t>
      </w:r>
      <w:r>
        <w:t>, so the paper is fully encapsulated with no exposed edge anywhere. Burnish hard with a thumbnail.</w:t>
      </w:r>
    </w:p>
    <w:p>
      <w:pPr>
        <w:ind w:left="432"/>
      </w:pPr>
      <w:r>
        <w:rPr>
          <w:b/>
        </w:rPr>
        <w:t xml:space="preserve">⚠ CAUTION: </w:t>
      </w:r>
      <w:r>
        <w:t xml:space="preserve">Done this way it survives repeated IPA wipes, CF dust and compressed air for months, because the solvent never reaches paper or toner. Done wrong, with the tape flush to the label edge, solvent wicks underneath and it delaminates in a week. </w:t>
      </w:r>
      <w:r>
        <w:rPr>
          <w:b/>
        </w:rPr>
        <w:t>2 in tape over a 2 in label is exactly wrong.</w:t>
      </w:r>
    </w:p>
    <w:p>
      <w:r>
        <w:t>For anything tag-able, a laminating pouch on a zip tie beats packing tape, because the lamination seals all four edges. Punch the hole through the sealed margin, never through the paper.</w:t>
      </w:r>
    </w:p>
    <w:p>
      <w:pPr>
        <w:pStyle w:val="Heading3"/>
      </w:pPr>
      <w:r>
        <w:t>7.9 When the printer breaks the week before comp</w:t>
      </w:r>
    </w:p>
    <w:p>
      <w:r>
        <w:t>In order:</w:t>
      </w:r>
    </w:p>
    <w:p>
      <w:pPr>
        <w:pStyle w:val="ListNumber"/>
      </w:pPr>
      <w:r>
        <w:rPr>
          <w:b/>
        </w:rPr>
        <w:t>The spare cartridge</w:t>
      </w:r>
      <w:r>
        <w:t>, taped to the printer in a bag, permanently, never allowed to become the working roll. Most of "the label printer is broken" is an empty or jammed cartridge.</w:t>
      </w:r>
    </w:p>
    <w:p>
      <w:pPr>
        <w:pStyle w:val="ListNumber"/>
      </w:pPr>
      <w:r>
        <w:rPr>
          <w:b/>
        </w:rPr>
        <w:t>Avery 5161 on the office laser</w:t>
      </w:r>
      <w:r>
        <w:t xml:space="preserve"> through the app, with the §7.8 overlaminate. Full fidelity, one grade down in durability, and no purchase decision at 11 pm. Keep one unopened box in the cabinet.</w:t>
      </w:r>
    </w:p>
    <w:p>
      <w:pPr>
        <w:pStyle w:val="ListNumber"/>
      </w:pPr>
      <w:r>
        <w:rPr>
          <w:b/>
        </w:rPr>
        <w:t>Paint marker on masking tape.</w:t>
      </w:r>
      <w:r>
        <w:t xml:space="preserve"> Always works, never scannable, acceptable for 72 hours.</w:t>
      </w:r>
    </w:p>
    <w:p>
      <w:pPr>
        <w:pStyle w:val="Heading3"/>
      </w:pPr>
      <w:r>
        <w:t>7.10 Storage locations</w:t>
      </w:r>
    </w:p>
    <w:p>
      <w:r>
        <w:t>Every shelf, bin and rack holding composites material gets a storage record and a label on its front edge. That is what turns the location field into a controlled value rather than the freeform string CS-011 §7.3 flags, and it is what lets a move be recorded by scanning the object and then the shelf.</w:t>
      </w:r>
    </w:p>
    <w:p>
      <w:pPr>
        <w:pStyle w:val="Heading2"/>
      </w:pPr>
      <w:r>
        <w:t>8. Quality checks / acceptance criteria</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003262"/>
          </w:tcPr>
          <w:p>
            <w:r>
              <w:rPr>
                <w:b/>
                <w:color w:val="FFFFFF"/>
                <w:sz w:val="19"/>
              </w:rPr>
              <w:t>Check</w:t>
            </w:r>
          </w:p>
        </w:tc>
        <w:tc>
          <w:tcPr>
            <w:tcW w:type="dxa" w:w="2412"/>
            <w:shd w:val="clear" w:fill="003262"/>
          </w:tcPr>
          <w:p>
            <w:r>
              <w:rPr>
                <w:b/>
                <w:color w:val="FFFFFF"/>
                <w:sz w:val="19"/>
              </w:rPr>
              <w:t>Target</w:t>
            </w:r>
          </w:p>
        </w:tc>
        <w:tc>
          <w:tcPr>
            <w:tcW w:type="dxa" w:w="2412"/>
            <w:shd w:val="clear" w:fill="003262"/>
          </w:tcPr>
          <w:p>
            <w:r>
              <w:rPr>
                <w:b/>
                <w:color w:val="FFFFFF"/>
                <w:sz w:val="19"/>
              </w:rPr>
              <w:t>Method</w:t>
            </w:r>
          </w:p>
        </w:tc>
        <w:tc>
          <w:tcPr>
            <w:tcW w:type="dxa" w:w="2412"/>
            <w:shd w:val="clear" w:fill="003262"/>
          </w:tcPr>
          <w:p>
            <w:r>
              <w:rPr>
                <w:b/>
                <w:color w:val="FFFFFF"/>
                <w:sz w:val="19"/>
              </w:rPr>
              <w:t>Record where</w:t>
            </w:r>
          </w:p>
        </w:tc>
      </w:tr>
      <w:tr>
        <w:tc>
          <w:tcPr>
            <w:tcW w:type="dxa" w:w="2412"/>
          </w:tcPr>
          <w:p>
            <w:r>
              <w:rPr>
                <w:sz w:val="19"/>
              </w:rPr>
              <w:t>Every mold in shared space carries an engraved ID</w:t>
            </w:r>
          </w:p>
        </w:tc>
        <w:tc>
          <w:tcPr>
            <w:tcW w:type="dxa" w:w="2412"/>
          </w:tcPr>
          <w:p>
            <w:r>
              <w:rPr>
                <w:sz w:val="19"/>
              </w:rPr>
              <w:t>100%</w:t>
            </w:r>
          </w:p>
        </w:tc>
        <w:tc>
          <w:tcPr>
            <w:tcW w:type="dxa" w:w="2412"/>
          </w:tcPr>
          <w:p>
            <w:r>
              <w:rPr>
                <w:sz w:val="19"/>
              </w:rPr>
              <w:t>Monthly stock walk (CS-011)</w:t>
            </w:r>
          </w:p>
        </w:tc>
        <w:tc>
          <w:tcPr>
            <w:tcW w:type="dxa" w:w="2412"/>
          </w:tcPr>
          <w:p>
            <w:r>
              <w:rPr>
                <w:sz w:val="19"/>
              </w:rPr>
              <w:t>Walk notes</w:t>
            </w:r>
          </w:p>
        </w:tc>
      </w:tr>
      <w:tr>
        <w:tc>
          <w:tcPr>
            <w:tcW w:type="dxa" w:w="2412"/>
          </w:tcPr>
          <w:p>
            <w:r>
              <w:rPr>
                <w:sz w:val="19"/>
              </w:rPr>
              <w:t>Every mold carries a current printed label</w:t>
            </w:r>
          </w:p>
        </w:tc>
        <w:tc>
          <w:tcPr>
            <w:tcW w:type="dxa" w:w="2412"/>
          </w:tcPr>
          <w:p>
            <w:r>
              <w:rPr>
                <w:sz w:val="19"/>
              </w:rPr>
              <w:t>100%</w:t>
            </w:r>
          </w:p>
        </w:tc>
        <w:tc>
          <w:tcPr>
            <w:tcW w:type="dxa" w:w="2412"/>
          </w:tcPr>
          <w:p>
            <w:r>
              <w:rPr>
                <w:sz w:val="19"/>
              </w:rPr>
              <w:t>Monthly stock walk; a label whose seal date predates the last re-seal counts as failed</w:t>
            </w:r>
          </w:p>
        </w:tc>
        <w:tc>
          <w:tcPr>
            <w:tcW w:type="dxa" w:w="2412"/>
          </w:tcPr>
          <w:p>
            <w:r>
              <w:rPr>
                <w:sz w:val="19"/>
              </w:rPr>
              <w:t>Walk notes</w:t>
            </w:r>
          </w:p>
        </w:tc>
      </w:tr>
      <w:tr>
        <w:tc>
          <w:tcPr>
            <w:tcW w:type="dxa" w:w="2412"/>
          </w:tcPr>
          <w:p>
            <w:r>
              <w:rPr>
                <w:sz w:val="19"/>
              </w:rPr>
              <w:t>No unlabeled cloth in the cutting area</w:t>
            </w:r>
          </w:p>
        </w:tc>
        <w:tc>
          <w:tcPr>
            <w:tcW w:type="dxa" w:w="2412"/>
          </w:tcPr>
          <w:p>
            <w:r>
              <w:rPr>
                <w:sz w:val="19"/>
              </w:rPr>
              <w:t>100%</w:t>
            </w:r>
          </w:p>
        </w:tc>
        <w:tc>
          <w:tcPr>
            <w:tcW w:type="dxa" w:w="2412"/>
          </w:tcPr>
          <w:p>
            <w:r>
              <w:rPr>
                <w:sz w:val="19"/>
              </w:rPr>
              <w:t>Spot check at every layup</w:t>
            </w:r>
          </w:p>
        </w:tc>
        <w:tc>
          <w:tcPr>
            <w:tcW w:type="dxa" w:w="2412"/>
          </w:tcPr>
          <w:p>
            <w:r>
              <w:rPr>
                <w:sz w:val="19"/>
              </w:rPr>
              <w:t>—</w:t>
            </w:r>
          </w:p>
        </w:tc>
      </w:tr>
      <w:tr>
        <w:tc>
          <w:tcPr>
            <w:tcW w:type="dxa" w:w="2412"/>
          </w:tcPr>
          <w:p>
            <w:r>
              <w:rPr>
                <w:sz w:val="19"/>
              </w:rPr>
              <w:t>No label within 40 mm of a flange seal band</w:t>
            </w:r>
          </w:p>
        </w:tc>
        <w:tc>
          <w:tcPr>
            <w:tcW w:type="dxa" w:w="2412"/>
          </w:tcPr>
          <w:p>
            <w:r>
              <w:rPr>
                <w:sz w:val="19"/>
              </w:rPr>
              <w:t>100%</w:t>
            </w:r>
          </w:p>
        </w:tc>
        <w:tc>
          <w:tcPr>
            <w:tcW w:type="dxa" w:w="2412"/>
          </w:tcPr>
          <w:p>
            <w:r>
              <w:rPr>
                <w:sz w:val="19"/>
              </w:rPr>
              <w:t>Checked at bagging, before pulling vacuum</w:t>
            </w:r>
          </w:p>
        </w:tc>
        <w:tc>
          <w:tcPr>
            <w:tcW w:type="dxa" w:w="2412"/>
          </w:tcPr>
          <w:p>
            <w:r>
              <w:rPr>
                <w:sz w:val="19"/>
              </w:rPr>
              <w:t>WO step note</w:t>
            </w:r>
          </w:p>
        </w:tc>
      </w:tr>
      <w:tr>
        <w:tc>
          <w:tcPr>
            <w:tcW w:type="dxa" w:w="2412"/>
          </w:tcPr>
          <w:p>
            <w:r>
              <w:rPr>
                <w:sz w:val="19"/>
              </w:rPr>
              <w:t>Calibration bar measures 100 mm</w:t>
            </w:r>
          </w:p>
        </w:tc>
        <w:tc>
          <w:tcPr>
            <w:tcW w:type="dxa" w:w="2412"/>
          </w:tcPr>
          <w:p>
            <w:r>
              <w:rPr>
                <w:sz w:val="19"/>
              </w:rPr>
              <w:t>Every print session</w:t>
            </w:r>
          </w:p>
        </w:tc>
        <w:tc>
          <w:tcPr>
            <w:tcW w:type="dxa" w:w="2412"/>
          </w:tcPr>
          <w:p>
            <w:r>
              <w:rPr>
                <w:sz w:val="19"/>
              </w:rPr>
              <w:t>Steel rule</w:t>
            </w:r>
          </w:p>
        </w:tc>
        <w:tc>
          <w:tcPr>
            <w:tcW w:type="dxa" w:w="2412"/>
          </w:tcPr>
          <w:p>
            <w:r>
              <w:rPr>
                <w:sz w:val="19"/>
              </w:rPr>
              <w:t>—</w:t>
            </w:r>
          </w:p>
        </w:tc>
      </w:tr>
      <w:tr>
        <w:tc>
          <w:tcPr>
            <w:tcW w:type="dxa" w:w="2412"/>
          </w:tcPr>
          <w:p>
            <w:r>
              <w:rPr>
                <w:sz w:val="19"/>
              </w:rPr>
              <w:t>Coupon IDs written on the panel before the first cut</w:t>
            </w:r>
          </w:p>
        </w:tc>
        <w:tc>
          <w:tcPr>
            <w:tcW w:type="dxa" w:w="2412"/>
          </w:tcPr>
          <w:p>
            <w:r>
              <w:rPr>
                <w:sz w:val="19"/>
              </w:rPr>
              <w:t>100%</w:t>
            </w:r>
          </w:p>
        </w:tc>
        <w:tc>
          <w:tcPr>
            <w:tcW w:type="dxa" w:w="2412"/>
          </w:tcPr>
          <w:p>
            <w:r>
              <w:rPr>
                <w:sz w:val="19"/>
              </w:rPr>
              <w:t>Checked at the saw</w:t>
            </w:r>
          </w:p>
        </w:tc>
        <w:tc>
          <w:tcPr>
            <w:tcW w:type="dxa" w:w="2412"/>
          </w:tcPr>
          <w:p>
            <w:r>
              <w:rPr>
                <w:sz w:val="19"/>
              </w:rPr>
              <w:t>Panel record</w:t>
            </w:r>
          </w:p>
        </w:tc>
      </w:tr>
      <w:tr>
        <w:tc>
          <w:tcPr>
            <w:tcW w:type="dxa" w:w="2412"/>
          </w:tcPr>
          <w:p>
            <w:r>
              <w:rPr>
                <w:sz w:val="19"/>
              </w:rPr>
              <w:t>Parts carry their hidden-face label before clear coat</w:t>
            </w:r>
          </w:p>
        </w:tc>
        <w:tc>
          <w:tcPr>
            <w:tcW w:type="dxa" w:w="2412"/>
          </w:tcPr>
          <w:p>
            <w:r>
              <w:rPr>
                <w:sz w:val="19"/>
              </w:rPr>
              <w:t>100%</w:t>
            </w:r>
          </w:p>
        </w:tc>
        <w:tc>
          <w:tcPr>
            <w:tcW w:type="dxa" w:w="2412"/>
          </w:tcPr>
          <w:p>
            <w:r>
              <w:rPr>
                <w:sz w:val="19"/>
              </w:rPr>
              <w:t>CS-009 finishing check</w:t>
            </w:r>
          </w:p>
        </w:tc>
        <w:tc>
          <w:tcPr>
            <w:tcW w:type="dxa" w:w="2412"/>
          </w:tcPr>
          <w:p>
            <w:r>
              <w:rPr>
                <w:sz w:val="19"/>
              </w:rPr>
              <w:t>WO quality checks</w:t>
            </w:r>
          </w:p>
        </w:tc>
      </w:tr>
      <w:tr>
        <w:tc>
          <w:tcPr>
            <w:tcW w:type="dxa" w:w="2412"/>
          </w:tcPr>
          <w:p>
            <w:r>
              <w:rPr>
                <w:sz w:val="19"/>
              </w:rPr>
              <w:t>R&amp;D parts carry the R&amp;D mark on their label</w:t>
            </w:r>
          </w:p>
        </w:tc>
        <w:tc>
          <w:tcPr>
            <w:tcW w:type="dxa" w:w="2412"/>
          </w:tcPr>
          <w:p>
            <w:r>
              <w:rPr>
                <w:sz w:val="19"/>
              </w:rPr>
              <w:t>100%</w:t>
            </w:r>
          </w:p>
        </w:tc>
        <w:tc>
          <w:tcPr>
            <w:tcW w:type="dxa" w:w="2412"/>
          </w:tcPr>
          <w:p>
            <w:r>
              <w:rPr>
                <w:sz w:val="19"/>
              </w:rPr>
              <w:t>Monthly stock walk (CS-011); a part built under an R&amp;D work order whose label has no mark counts as failed</w:t>
            </w:r>
          </w:p>
        </w:tc>
        <w:tc>
          <w:tcPr>
            <w:tcW w:type="dxa" w:w="2412"/>
          </w:tcPr>
          <w:p>
            <w:r>
              <w:rPr>
                <w:sz w:val="19"/>
              </w:rPr>
              <w:t>Walk notes</w:t>
            </w:r>
          </w:p>
        </w:tc>
      </w:tr>
      <w:tr>
        <w:tc>
          <w:tcPr>
            <w:tcW w:type="dxa" w:w="2412"/>
          </w:tcPr>
          <w:p>
            <w:r>
              <w:rPr>
                <w:sz w:val="19"/>
              </w:rPr>
              <w:t>Hand marks use a paint marker, not a Sharpie</w:t>
            </w:r>
          </w:p>
        </w:tc>
        <w:tc>
          <w:tcPr>
            <w:tcW w:type="dxa" w:w="2412"/>
          </w:tcPr>
          <w:p>
            <w:r>
              <w:rPr>
                <w:sz w:val="19"/>
              </w:rPr>
              <w:t>100%</w:t>
            </w:r>
          </w:p>
        </w:tc>
        <w:tc>
          <w:tcPr>
            <w:tcW w:type="dxa" w:w="2412"/>
          </w:tcPr>
          <w:p>
            <w:r>
              <w:rPr>
                <w:sz w:val="19"/>
              </w:rPr>
              <w:t>Spot check</w:t>
            </w:r>
          </w:p>
        </w:tc>
        <w:tc>
          <w:tcPr>
            <w:tcW w:type="dxa" w:w="2412"/>
          </w:tcPr>
          <w:p>
            <w:r>
              <w:rPr>
                <w:sz w:val="19"/>
              </w:rPr>
              <w:t>—</w:t>
            </w:r>
          </w:p>
        </w:tc>
      </w:tr>
    </w:tbl>
    <w:p/>
    <w:p>
      <w:pPr>
        <w:pStyle w:val="Heading2"/>
      </w:pPr>
      <w:r>
        <w:t>9. Records</w:t>
      </w:r>
    </w:p>
    <w:p>
      <w:r>
        <w:t>The labels themselves, the records they point at, and the location field on each record, which is what the monthly stock walk checks against. A scan of any label resolves to the public page for that record, so a stock walk can be done with a phone and no account.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262"/>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3262"/>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326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