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cs-007-wet-layup-vacuum-bagging"/>
    <w:p>
      <w:pPr>
        <w:pStyle w:val="Heading1"/>
      </w:pPr>
      <w:r>
        <w:t xml:space="preserve">CS-007 Wet Layup &amp; Vacuum Bagging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 ID</w:t>
            </w:r>
          </w:p>
        </w:tc>
        <w:tc>
          <w:tcPr/>
          <w:p>
            <w:pPr>
              <w:pStyle w:val="Compact"/>
            </w:pPr>
            <w:r>
              <w:t xml:space="preserve">CS-007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Wet Layup &amp; Vacuum Bagging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Draft, pending Lead signature (OUTLINED, complete before first use)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Effective date</w:t>
            </w:r>
          </w:p>
        </w:tc>
        <w:tc>
          <w:tcPr/>
          <w:p>
            <w:pPr>
              <w:pStyle w:val="Compact"/>
            </w:pPr>
            <w:r>
              <w:t xml:space="preserve">2026-07-28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Supersedes</w:t>
            </w:r>
          </w:p>
        </w:tc>
        <w:tc>
          <w:tcPr/>
          <w:p>
            <w:pPr>
              <w:pStyle w:val="Compact"/>
            </w:pPr>
            <w:r>
              <w:t xml:space="preserve">Verbal wet-layup training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Approvals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Simon Starbuck (drafted with Claude, SN6 Resources)</w:t>
            </w:r>
          </w:p>
        </w:tc>
        <w:tc>
          <w:tcPr/>
          <w:p>
            <w:pPr>
              <w:pStyle w:val="Compact"/>
            </w:pPr>
            <w:r>
              <w:t xml:space="preserve">2026-07-12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Reviewer</w:t>
            </w:r>
          </w:p>
        </w:tc>
        <w:tc>
          <w:tcPr/>
          <w:p>
            <w:pPr>
              <w:pStyle w:val="Compact"/>
            </w:pPr>
            <w:r>
              <w:t xml:space="preserve">simon (reviewer agent)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Approver (Composites Lead)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Rev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Description of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2026-07-12</w:t>
            </w:r>
          </w:p>
        </w:tc>
        <w:tc>
          <w:tcPr/>
          <w:p>
            <w:pPr>
              <w:pStyle w:val="Compact"/>
            </w:pPr>
            <w:r>
              <w:t xml:space="preserve">Claude</w:t>
            </w:r>
          </w:p>
        </w:tc>
        <w:tc>
          <w:tcPr/>
          <w:p>
            <w:pPr>
              <w:pStyle w:val="Compact"/>
            </w:pPr>
            <w:r>
              <w:t xml:space="preserve">Initial outline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2026-07-28</w:t>
            </w:r>
          </w:p>
        </w:tc>
        <w:tc>
          <w:tcPr/>
          <w:p>
            <w:pPr>
              <w:pStyle w:val="Compact"/>
            </w:pPr>
            <w:r>
              <w:t xml:space="preserve">Claude</w:t>
            </w:r>
          </w:p>
        </w:tc>
        <w:tc>
          <w:tcPr/>
          <w:p>
            <w:pPr>
              <w:pStyle w:val="Compact"/>
            </w:pPr>
            <w:r>
              <w:t xml:space="preserve">Language pass: fewer em dashes for rhythm variety, no content change.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Wet layup is our second core process (seat, flat panels, foam-wrapped wing elements). In SN5 the knowledge was verbal plus one Slack SOP; this doc writes it down with the numbers attached.</w:t>
      </w:r>
    </w:p>
    <w:bookmarkEnd w:id="20"/>
    <w:bookmarkStart w:id="21" w:name="scope"/>
    <w:p>
      <w:pPr>
        <w:pStyle w:val="Heading2"/>
      </w:pPr>
      <w:r>
        <w:t xml:space="preserve">2. Scope</w:t>
      </w:r>
    </w:p>
    <w:p>
      <w:pPr>
        <w:pStyle w:val="FirstParagraph"/>
      </w:pPr>
      <w:r>
        <w:t xml:space="preserve">Hand lamination with West System 105, vacuum-bagged, on molds (CS-004-prepped), flat plates, and foam cores (foam-wrapped wing elements). Infusion: CS-006.</w:t>
      </w:r>
    </w:p>
    <w:bookmarkEnd w:id="21"/>
    <w:bookmarkStart w:id="22" w:name="references"/>
    <w:p>
      <w:pPr>
        <w:pStyle w:val="Heading2"/>
      </w:pPr>
      <w:r>
        <w:t xml:space="preserve">3. References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West 105/206 TDS (5:1 by volume; pot life 20–25 min</w:t>
            </w:r>
            <w:r>
              <w:t xml:space="preserve"> </w:t>
            </w:r>
            <w:r>
              <w:t xml:space="preserve">@72</w:t>
            </w:r>
            <w:r>
              <w:t xml:space="preserve"> </w:t>
            </w:r>
            <w:r>
              <w:t xml:space="preserve">°F; thin-film cure 10–15 h)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 Datasheets/WEST_SYSTEM_105_Epoxy_Resin_with_206_Slow_Hardener.pdf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West 105/205 TDS (fast: pot life 9–12 min)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 Datasheets/WestSystems-105-205-Epoxy-Resin.pdf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VB160 film, PP180 peel ply, breather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 Datasheets/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CS-002 (stack), CS-004 (mold prep), CS-008 (mixing/exotherm)</w:t>
            </w:r>
          </w:p>
        </w:tc>
        <w:tc>
          <w:tcPr/>
          <w:p>
            <w:pPr>
              <w:pStyle w:val="Compact"/>
            </w:pPr>
            <w:r>
              <w:t xml:space="preserve">this series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t xml:space="preserve">Simon’s layup SOP (Slack, 2026-05-30): 105</w:t>
            </w:r>
            <w:r>
              <w:t xml:space="preserve"> </w:t>
            </w:r>
            <w:r>
              <w:t xml:space="preserve">“big tank, blue label”</w:t>
            </w:r>
            <w:r>
              <w:t xml:space="preserve"> </w:t>
            </w:r>
            <w:r>
              <w:t xml:space="preserve">+ 206</w:t>
            </w:r>
            <w:r>
              <w:t xml:space="preserve"> </w:t>
            </w:r>
            <w:r>
              <w:t xml:space="preserve">“large metal can, red label”</w:t>
            </w:r>
            <w:r>
              <w:t xml:space="preserve">, 5:1</w:t>
            </w:r>
          </w:p>
        </w:tc>
        <w:tc>
          <w:tcPr/>
          <w:p>
            <w:pPr>
              <w:pStyle w:val="Compact"/>
            </w:pPr>
            <w:r>
              <w:t xml:space="preserve">Slack record</w:t>
            </w:r>
          </w:p>
        </w:tc>
      </w:tr>
    </w:tbl>
    <w:bookmarkEnd w:id="22"/>
    <w:bookmarkStart w:id="23" w:name="definitions"/>
    <w:p>
      <w:pPr>
        <w:pStyle w:val="Heading2"/>
      </w:pPr>
      <w:r>
        <w:t xml:space="preserve">4. Definitions</w:t>
      </w:r>
    </w:p>
    <w:p>
      <w:pPr>
        <w:pStyle w:val="FirstParagraph"/>
      </w:pPr>
      <w:r>
        <w:t xml:space="preserve">Breather (fluffy bleed cloth — never touching part edges it could bond to), bridging, wet-out, 60:40 fiber:resin target</w:t>
      </w:r>
      <w:r>
        <w:t xml:space="preserve"> </w:t>
      </w:r>
      <w:r>
        <w:rPr>
          <w:b/>
          <w:bCs/>
        </w:rPr>
        <w:t xml:space="preserve">by weight</w:t>
      </w:r>
      <w:r>
        <w:t xml:space="preserve">.</w:t>
      </w:r>
    </w:p>
    <w:bookmarkEnd w:id="23"/>
    <w:bookmarkStart w:id="24" w:name="equipment-materials"/>
    <w:p>
      <w:pPr>
        <w:pStyle w:val="Heading2"/>
      </w:pPr>
      <w:r>
        <w:t xml:space="preserve">5. Equipment &amp; Materials</w:t>
      </w:r>
    </w:p>
    <w:p>
      <w:pPr>
        <w:pStyle w:val="FirstParagraph"/>
      </w:pPr>
      <w:r>
        <w:t xml:space="preserve">West 105 + 206 (default) or 205 (small parts), calibrated pumps (5:1 by volume, R1) or scale (weight ratios in R1: 5.36:1 for 206), brushes/rollers/squeegees, peel ply, breather, VB160, tacky tape, vacuum pump + trap + gauge.</w:t>
      </w:r>
    </w:p>
    <w:bookmarkEnd w:id="24"/>
    <w:bookmarkStart w:id="25" w:name="safety"/>
    <w:p>
      <w:pPr>
        <w:pStyle w:val="Heading2"/>
      </w:pPr>
      <w:r>
        <w:t xml:space="preserve">6. Safety</w:t>
      </w:r>
    </w:p>
    <w:p>
      <w:pPr>
        <w:pStyle w:val="FirstParagraph"/>
      </w:pPr>
      <w:r>
        <w:t xml:space="preserve">Per West SDS + team rules: nitrile gloves (sensitizer — same warning as CS-004 §6), ventilation, no solvent on skin; exotherm rules per CS-008 (105/205 in a pot gets hot fast). Respirator with A-filter for large overhead/enclosed laminating.</w:t>
      </w:r>
    </w:p>
    <w:bookmarkEnd w:id="25"/>
    <w:bookmarkStart w:id="26" w:name="X06de4814897c4f44692a81ff1d4c6229726de2d"/>
    <w:p>
      <w:pPr>
        <w:pStyle w:val="Heading2"/>
      </w:pPr>
      <w:r>
        <w:t xml:space="preserve">7. Procedure (outline — expand with photos on first parts)</w:t>
      </w:r>
    </w:p>
    <w:p>
      <w:pPr>
        <w:pStyle w:val="Compact"/>
        <w:numPr>
          <w:ilvl w:val="0"/>
          <w:numId w:val="1001"/>
        </w:numPr>
      </w:pPr>
      <w:r>
        <w:t xml:space="preserve">Prerequisites: stack frozen (CS-002 §7.2), mold released (CS-004), cloth cut + weighed.</w:t>
      </w:r>
    </w:p>
    <w:p>
      <w:pPr>
        <w:pStyle w:val="Compact"/>
        <w:numPr>
          <w:ilvl w:val="0"/>
          <w:numId w:val="1001"/>
        </w:numPr>
      </w:pPr>
      <w:r>
        <w:t xml:space="preserve">Resin math: mix ≈ fiber mass × 0.9 for hand layup. (Yes, that is more than the 60:40 target implies: the squeegee and the breather take the excess out, and the</w:t>
      </w:r>
      <w:r>
        <w:t xml:space="preserve"> </w:t>
      </w:r>
      <w:r>
        <w:rPr>
          <w:i/>
          <w:iCs/>
        </w:rPr>
        <w:t xml:space="preserve">cured part</w:t>
      </w:r>
      <w:r>
        <w:t xml:space="preserve"> </w:t>
      </w:r>
      <w:r>
        <w:t xml:space="preserve">lands near 60:40. Record mixed vs final masses on the WO to tune this factor.)</w:t>
      </w:r>
    </w:p>
    <w:p>
      <w:pPr>
        <w:pStyle w:val="Compact"/>
        <w:numPr>
          <w:ilvl w:val="0"/>
          <w:numId w:val="1001"/>
        </w:numPr>
      </w:pPr>
      <w:r>
        <w:t xml:space="preserve">Mix per CS-008: 5:1 by volume with the calibrated pumps (R1); one FULL pump stroke each, never partial strokes; pot life 206</w:t>
      </w:r>
      <w:r>
        <w:t xml:space="preserve"> </w:t>
      </w:r>
      <w:r>
        <w:t xml:space="preserve">@72</w:t>
      </w:r>
      <w:r>
        <w:t xml:space="preserve"> </w:t>
      </w:r>
      <w:r>
        <w:t xml:space="preserve">°F: 20–25 min per 100 g pot.</w:t>
      </w:r>
    </w:p>
    <w:p>
      <w:pPr>
        <w:pStyle w:val="Compact"/>
        <w:numPr>
          <w:ilvl w:val="0"/>
          <w:numId w:val="1001"/>
        </w:numPr>
      </w:pPr>
      <w:r>
        <w:t xml:space="preserve">Wet out ply-by-ply per the WO ply table; squeegee each ply until shiny-wet, not swimming.</w:t>
      </w:r>
    </w:p>
    <w:p>
      <w:pPr>
        <w:pStyle w:val="FirstParagraph"/>
      </w:pPr>
      <w:r>
        <w:t xml:space="preserve">[PHOTO: correctly wetted ply — uniform sheen, weave visible, no pooling]</w:t>
      </w:r>
    </w:p>
    <w:p>
      <w:pPr>
        <w:pStyle w:val="Compact"/>
        <w:numPr>
          <w:ilvl w:val="0"/>
          <w:numId w:val="1002"/>
        </w:numPr>
      </w:pPr>
      <w:r>
        <w:t xml:space="preserve">Lay peel ply over the full laminate.</w:t>
      </w:r>
    </w:p>
    <w:p>
      <w:pPr>
        <w:pStyle w:val="Compact"/>
        <w:numPr>
          <w:ilvl w:val="0"/>
          <w:numId w:val="1002"/>
        </w:numPr>
      </w:pPr>
      <w:r>
        <w:t xml:space="preserve">Lay breather over the peel ply, kept clear of part edges it could bond to.</w:t>
      </w:r>
    </w:p>
    <w:p>
      <w:pPr>
        <w:pStyle w:val="Compact"/>
        <w:numPr>
          <w:ilvl w:val="0"/>
          <w:numId w:val="1002"/>
        </w:numPr>
      </w:pPr>
      <w:r>
        <w:t xml:space="preserve">Bag with VB160 + tacky tape, adding pleats at corners (CS-006 §7.3 rules apply).</w:t>
      </w:r>
    </w:p>
    <w:p>
      <w:pPr>
        <w:pStyle w:val="Compact"/>
        <w:numPr>
          <w:ilvl w:val="0"/>
          <w:numId w:val="1002"/>
        </w:numPr>
      </w:pPr>
      <w:r>
        <w:t xml:space="preserve">Pull vacuum to</w:t>
      </w:r>
      <w:r>
        <w:t xml:space="preserve"> </w:t>
      </w:r>
      <w:r>
        <w:rPr>
          <w:b/>
          <w:bCs/>
        </w:rPr>
        <w:t xml:space="preserve">≥25 inHg</w:t>
      </w:r>
      <w:r>
        <w:t xml:space="preserve">; drop test: isolate pump,</w:t>
      </w:r>
      <w:r>
        <w:t xml:space="preserve"> </w:t>
      </w:r>
      <w:r>
        <w:rPr>
          <w:b/>
          <w:bCs/>
        </w:rPr>
        <w:t xml:space="preserve">≤2 inHg over 10 minutes</w:t>
      </w:r>
      <w:r>
        <w:t xml:space="preserve"> </w:t>
      </w:r>
      <w:r>
        <w:t xml:space="preserve">before walking away. Record readings on the WO.</w:t>
      </w:r>
    </w:p>
    <w:p>
      <w:pPr>
        <w:pStyle w:val="FirstParagraph"/>
      </w:pPr>
      <w:r>
        <w:t xml:space="preserve">[PHOTO: bagged wet layup under vacuum, pleats visible, gauge in frame]</w:t>
      </w:r>
    </w:p>
    <w:p>
      <w:pPr>
        <w:pStyle w:val="Compact"/>
        <w:numPr>
          <w:ilvl w:val="0"/>
          <w:numId w:val="1003"/>
        </w:numPr>
      </w:pPr>
      <w:r>
        <w:t xml:space="preserve">Cure per R1 (206: thin-film solid 10–15 h</w:t>
      </w:r>
      <w:r>
        <w:t xml:space="preserve"> </w:t>
      </w:r>
      <w:r>
        <w:t xml:space="preserve">@72</w:t>
      </w:r>
      <w:r>
        <w:t xml:space="preserve"> </w:t>
      </w:r>
      <w:r>
        <w:t xml:space="preserve">°F; leave bagged overnight minimum). Record times/masses on the WO.</w:t>
      </w:r>
    </w:p>
    <w:p>
      <w:pPr>
        <w:pStyle w:val="Compact"/>
        <w:numPr>
          <w:ilvl w:val="0"/>
          <w:numId w:val="1003"/>
        </w:numPr>
      </w:pPr>
      <w:r>
        <w:t xml:space="preserve">Foam-wrapped elements (RW E2–E5 class): same flow over a shaped foam core; watch vacuum crush on light foams — reduce vacuum if the core dents (record the level that worked per part on the WO).</w:t>
      </w:r>
    </w:p>
    <w:bookmarkEnd w:id="26"/>
    <w:bookmarkStart w:id="27" w:name="quality-checks-acceptance-criteria"/>
    <w:p>
      <w:pPr>
        <w:pStyle w:val="Heading2"/>
      </w:pPr>
      <w:r>
        <w:t xml:space="preserve">8. Quality checks / acceptance criteria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Record where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Vacuum</w:t>
            </w:r>
          </w:p>
        </w:tc>
        <w:tc>
          <w:tcPr/>
          <w:p>
            <w:pPr>
              <w:pStyle w:val="Compact"/>
            </w:pPr>
            <w:r>
              <w:t xml:space="preserve">≥25 inHg; drop ≤2 inHg/10 min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WO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Wet-out</w:t>
            </w:r>
          </w:p>
        </w:tc>
        <w:tc>
          <w:tcPr/>
          <w:p>
            <w:pPr>
              <w:pStyle w:val="Compact"/>
            </w:pPr>
            <w:r>
              <w:t xml:space="preserve">No white/dry weave visible</w:t>
            </w:r>
          </w:p>
        </w:tc>
        <w:tc>
          <w:tcPr/>
          <w:p>
            <w:pPr>
              <w:pStyle w:val="Compact"/>
            </w:pPr>
            <w:r>
              <w:t xml:space="preserve">Visual per ply</w:t>
            </w:r>
          </w:p>
        </w:tc>
        <w:tc>
          <w:tcPr/>
          <w:p>
            <w:pPr>
              <w:pStyle w:val="Compact"/>
            </w:pPr>
            <w:r>
              <w:t xml:space="preserve">WO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Mass</w:t>
            </w:r>
          </w:p>
        </w:tc>
        <w:tc>
          <w:tcPr/>
          <w:p>
            <w:pPr>
              <w:pStyle w:val="Compact"/>
            </w:pPr>
            <w:r>
              <w:t xml:space="preserve">WO target ±10%</w:t>
            </w:r>
          </w:p>
        </w:tc>
        <w:tc>
          <w:tcPr/>
          <w:p>
            <w:pPr>
              <w:pStyle w:val="Compact"/>
            </w:pPr>
            <w:r>
              <w:t xml:space="preserve">Scale</w:t>
            </w:r>
          </w:p>
        </w:tc>
        <w:tc>
          <w:tcPr/>
          <w:p>
            <w:pPr>
              <w:pStyle w:val="Compact"/>
            </w:pPr>
            <w:r>
              <w:t xml:space="preserve">WO qualityChecks</w:t>
            </w:r>
          </w:p>
        </w:tc>
      </w:tr>
    </w:tbl>
    <w:bookmarkEnd w:id="27"/>
    <w:bookmarkStart w:id="28" w:name="records"/>
    <w:p>
      <w:pPr>
        <w:pStyle w:val="Heading2"/>
      </w:pPr>
      <w:r>
        <w:t xml:space="preserve">9. Records</w:t>
      </w:r>
    </w:p>
    <w:p>
      <w:pPr>
        <w:pStyle w:val="FirstParagraph"/>
      </w:pPr>
      <w:r>
        <w:t xml:space="preserve">Same as CS-006 §9: times, masses, gauge readings, photos into the WO.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2026-07-29T03:18:42Z</dcterms:created>
  <dcterms:modified xsi:type="dcterms:W3CDTF">2026-07-29T03:18:42Z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