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s-008-resins-mixing-cure-schedules"/>
    <w:p>
      <w:pPr>
        <w:pStyle w:val="Heading1"/>
      </w:pPr>
      <w:r>
        <w:t xml:space="preserve">CS-008 Resins, Mixing &amp; Cure Schedules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CS-008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Resins, Mixing &amp; Cure Schedules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Draft, pending Lead signature (OUTLINED, complete before first 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Ratio/pot-life tribal knowledge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Simon Starbuck (drafted with Claude, SN6 Resources)</w:t>
            </w:r>
          </w:p>
        </w:tc>
        <w:tc>
          <w:tcPr/>
          <w:p>
            <w:pPr>
              <w:pStyle w:val="Compact"/>
            </w:pPr>
            <w:r>
              <w:t xml:space="preserve">2026-07-12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simon (reviewer agent)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Approver (Composites Lead)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2026-07-12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Initial outline, the one-page ratio/cure table every other standard cites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Language pass: fewer em dashes for rhythm variety, no content change.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One table for every resin we stock: ratios, pot lives, cure/demould times, plus the mixing discipline and exotherm rules that apply to all of them. Exists because of soft-spot failures (bad ratios), the first forged-CF part cracking from resin starvation, and a few too many hot cups.</w:t>
      </w:r>
    </w:p>
    <w:bookmarkEnd w:id="20"/>
    <w:bookmarkStart w:id="2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All team resin systems. Process-specific use lives in CS-004 (XCR), CS-006 (IN2), CS-007 (West 105).</w:t>
      </w:r>
    </w:p>
    <w:bookmarkEnd w:id="21"/>
    <w:bookmarkStart w:id="22" w:name="references"/>
    <w:p>
      <w:pPr>
        <w:pStyle w:val="Heading2"/>
      </w:pPr>
      <w:r>
        <w:t xml:space="preserve">3.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IN2 TDS · R2 XCR TDS · R3 West 105/205, /206, /209 TDS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Datasheets/</w:t>
            </w:r>
            <w:r>
              <w:t xml:space="preserve"> </w:t>
            </w:r>
            <w:r>
              <w:t xml:space="preserve">(see INDEX.md)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SDS for all of the above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Datasheets/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Forged/Compression Molded CF</w:t>
            </w:r>
            <w:r>
              <w:t xml:space="preserve"> </w:t>
            </w:r>
            <w:r>
              <w:t xml:space="preserve">study (mix math, starvation failure)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SN5 Composites/Documentation/Forged_Compression Molded Carbon Fiber.docx</w:t>
            </w:r>
          </w:p>
        </w:tc>
      </w:tr>
    </w:tbl>
    <w:bookmarkEnd w:id="22"/>
    <w:bookmarkStart w:id="23" w:name="definitions"/>
    <w:p>
      <w:pPr>
        <w:pStyle w:val="Heading2"/>
      </w:pPr>
      <w:r>
        <w:t xml:space="preserve">4. Definitions</w:t>
      </w:r>
    </w:p>
    <w:p>
      <w:pPr>
        <w:pStyle w:val="FirstParagraph"/>
      </w:pPr>
      <w:r>
        <w:t xml:space="preserve">Pot life (usable time in the pot at stated mass/temp), gel, demould, full cure, exotherm.</w:t>
      </w:r>
    </w:p>
    <w:bookmarkEnd w:id="23"/>
    <w:bookmarkStart w:id="24" w:name="X1e4dd64e4d1733f133f94baf745bc6050465763"/>
    <w:p>
      <w:pPr>
        <w:pStyle w:val="Heading2"/>
      </w:pPr>
      <w:r>
        <w:t xml:space="preserve">5. Equipment &amp; Materials — THE TABLE (verify each against its TDS before signing)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Ratio (by weight)</w:t>
            </w:r>
          </w:p>
        </w:tc>
        <w:tc>
          <w:tcPr/>
          <w:p>
            <w:pPr>
              <w:pStyle w:val="Compact"/>
            </w:pPr>
            <w:r>
              <w:t xml:space="preserve">Pot life</w:t>
            </w:r>
          </w:p>
        </w:tc>
        <w:tc>
          <w:tcPr/>
          <w:p>
            <w:pPr>
              <w:pStyle w:val="Compact"/>
            </w:pPr>
            <w:r>
              <w:t xml:space="preserve">Demould</w:t>
            </w:r>
          </w:p>
        </w:tc>
        <w:tc>
          <w:tcPr/>
          <w:p>
            <w:pPr>
              <w:pStyle w:val="Compact"/>
            </w:pPr>
            <w:r>
              <w:t xml:space="preserve">Full properties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IN2 + AT30 SLOW</w:t>
            </w:r>
          </w:p>
        </w:tc>
        <w:tc>
          <w:tcPr/>
          <w:p>
            <w:pPr>
              <w:pStyle w:val="Compact"/>
            </w:pPr>
            <w:r>
              <w:t xml:space="preserve">100:30</w:t>
            </w:r>
          </w:p>
        </w:tc>
        <w:tc>
          <w:tcPr/>
          <w:p>
            <w:pPr>
              <w:pStyle w:val="Compact"/>
            </w:pPr>
            <w:r>
              <w:t xml:space="preserve">120–150 min</w:t>
            </w:r>
            <w:r>
              <w:t xml:space="preserve"> </w:t>
            </w:r>
            <w:r>
              <w:t xml:space="preserve">@25</w:t>
            </w:r>
            <w:r>
              <w:t xml:space="preserve"> </w:t>
            </w: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18–24 h</w:t>
            </w:r>
          </w:p>
        </w:tc>
        <w:tc>
          <w:tcPr/>
          <w:p>
            <w:pPr>
              <w:pStyle w:val="Compact"/>
            </w:pPr>
            <w:r>
              <w:t xml:space="preserve">≥14 d</w:t>
            </w:r>
            <w:r>
              <w:t xml:space="preserve"> </w:t>
            </w:r>
            <w:r>
              <w:t xml:space="preserve">@25</w:t>
            </w:r>
            <w:r>
              <w:t xml:space="preserve"> </w:t>
            </w: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Infusion default (CS-006)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IN2 + AT30 FAST</w:t>
            </w:r>
          </w:p>
        </w:tc>
        <w:tc>
          <w:tcPr/>
          <w:p>
            <w:pPr>
              <w:pStyle w:val="Compact"/>
            </w:pPr>
            <w:r>
              <w:t xml:space="preserve">100:30</w:t>
            </w:r>
          </w:p>
        </w:tc>
        <w:tc>
          <w:tcPr/>
          <w:p>
            <w:pPr>
              <w:pStyle w:val="Compact"/>
            </w:pPr>
            <w:r>
              <w:t xml:space="preserve">10–14 min</w:t>
            </w:r>
            <w:r>
              <w:t xml:space="preserve"> </w:t>
            </w:r>
            <w:r>
              <w:t xml:space="preserve">@25</w:t>
            </w:r>
            <w:r>
              <w:t xml:space="preserve"> </w:t>
            </w: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6–8 h</w:t>
            </w:r>
          </w:p>
        </w:tc>
        <w:tc>
          <w:tcPr/>
          <w:p>
            <w:pPr>
              <w:pStyle w:val="Compact"/>
            </w:pPr>
            <w:r>
              <w:t xml:space="preserve">≥14 d</w:t>
            </w:r>
          </w:p>
        </w:tc>
        <w:tc>
          <w:tcPr/>
          <w:p>
            <w:pPr>
              <w:pStyle w:val="Compact"/>
            </w:pPr>
            <w:r>
              <w:t xml:space="preserve">Small infusions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 105 + 206 SLOW</w:t>
            </w:r>
          </w:p>
        </w:tc>
        <w:tc>
          <w:tcPr/>
          <w:p>
            <w:pPr>
              <w:pStyle w:val="Compact"/>
            </w:pPr>
            <w:r>
              <w:t xml:space="preserve">5.36:1 (5:1 by volume pumps)</w:t>
            </w:r>
          </w:p>
        </w:tc>
        <w:tc>
          <w:tcPr/>
          <w:p>
            <w:pPr>
              <w:pStyle w:val="Compact"/>
            </w:pPr>
            <w:r>
              <w:t xml:space="preserve">20–25 min</w:t>
            </w:r>
            <w:r>
              <w:t xml:space="preserve"> </w:t>
            </w:r>
            <w:r>
              <w:t xml:space="preserve">@72</w:t>
            </w:r>
            <w:r>
              <w:t xml:space="preserve"> </w:t>
            </w:r>
            <w:r>
              <w:t xml:space="preserve">°F</w:t>
            </w:r>
          </w:p>
        </w:tc>
        <w:tc>
          <w:tcPr/>
          <w:p>
            <w:pPr>
              <w:pStyle w:val="Compact"/>
            </w:pPr>
            <w:r>
              <w:t xml:space="preserve">thin-film solid 10–15 h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Wet layup default (CS-007)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 105 + 205 FAST</w:t>
            </w:r>
          </w:p>
        </w:tc>
        <w:tc>
          <w:tcPr/>
          <w:p>
            <w:pPr>
              <w:pStyle w:val="Compact"/>
            </w:pPr>
            <w:r>
              <w:t xml:space="preserve">5.19:1 (5:1 by volume)</w:t>
            </w:r>
          </w:p>
        </w:tc>
        <w:tc>
          <w:tcPr/>
          <w:p>
            <w:pPr>
              <w:pStyle w:val="Compact"/>
            </w:pPr>
            <w:r>
              <w:t xml:space="preserve">9–12 min</w:t>
            </w:r>
            <w:r>
              <w:t xml:space="preserve"> </w:t>
            </w:r>
            <w:r>
              <w:t xml:space="preserve">@72</w:t>
            </w:r>
            <w:r>
              <w:t xml:space="preserve"> </w:t>
            </w:r>
            <w:r>
              <w:t xml:space="preserve">°F</w:t>
            </w:r>
          </w:p>
        </w:tc>
        <w:tc>
          <w:tcPr/>
          <w:p>
            <w:pPr>
              <w:pStyle w:val="Compact"/>
            </w:pPr>
            <w:r>
              <w:t xml:space="preserve">6–8 h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Small wet layups,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 105 + 209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3.68:1 (3:1 by volume — DIFFERENT pump ratio than 205/206!)</w:t>
            </w:r>
          </w:p>
        </w:tc>
        <w:tc>
          <w:tcPr/>
          <w:p>
            <w:pPr>
              <w:pStyle w:val="Compact"/>
            </w:pPr>
            <w:r>
              <w:t xml:space="preserve">40–50 min</w:t>
            </w:r>
            <w:r>
              <w:t xml:space="preserve"> </w:t>
            </w:r>
            <w:r>
              <w:t xml:space="preserve">@72</w:t>
            </w:r>
            <w:r>
              <w:t xml:space="preserve"> </w:t>
            </w:r>
            <w:r>
              <w:t xml:space="preserve">°F (100 g)</w:t>
            </w:r>
          </w:p>
        </w:tc>
        <w:tc>
          <w:tcPr/>
          <w:p>
            <w:pPr>
              <w:pStyle w:val="Compact"/>
            </w:pPr>
            <w:r>
              <w:t xml:space="preserve">thin-film solid 20–24 h</w:t>
            </w:r>
          </w:p>
        </w:tc>
        <w:tc>
          <w:tcPr/>
          <w:p>
            <w:pPr>
              <w:pStyle w:val="Compact"/>
            </w:pPr>
            <w:r>
              <w:t xml:space="preserve">max strength 4–9 d; min temp 70 °F</w:t>
            </w:r>
          </w:p>
        </w:tc>
        <w:tc>
          <w:tcPr/>
          <w:p>
            <w:pPr>
              <w:pStyle w:val="Compact"/>
            </w:pPr>
            <w:r>
              <w:t xml:space="preserve">Hot-day / very large wet layups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XCR</w:t>
            </w:r>
          </w:p>
        </w:tc>
        <w:tc>
          <w:tcPr/>
          <w:p>
            <w:pPr>
              <w:pStyle w:val="Compact"/>
            </w:pPr>
            <w:r>
              <w:t xml:space="preserve">100:41 (2:1 by volume)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  <w:r>
              <w:t xml:space="preserve"> </w:t>
            </w:r>
            <w:r>
              <w:t xml:space="preserve">@20</w:t>
            </w:r>
            <w:r>
              <w:t xml:space="preserve"> </w:t>
            </w:r>
            <w:r>
              <w:t xml:space="preserve">°C (150 g)</w:t>
            </w:r>
          </w:p>
        </w:tc>
        <w:tc>
          <w:tcPr/>
          <w:p>
            <w:pPr>
              <w:pStyle w:val="Compact"/>
            </w:pPr>
            <w:r>
              <w:t xml:space="preserve">8.5 h initial</w:t>
            </w:r>
          </w:p>
        </w:tc>
        <w:tc>
          <w:tcPr/>
          <w:p>
            <w:pPr>
              <w:pStyle w:val="Compact"/>
            </w:pPr>
            <w:r>
              <w:t xml:space="preserve">≥14 d</w:t>
            </w:r>
            <w:r>
              <w:t xml:space="preserve"> </w:t>
            </w:r>
            <w:r>
              <w:t xml:space="preserve">@20</w:t>
            </w:r>
            <w:r>
              <w:t xml:space="preserve"> </w:t>
            </w: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Mold sealing (CS-004)</w:t>
            </w:r>
          </w:p>
        </w:tc>
      </w:tr>
    </w:tbl>
    <w:bookmarkEnd w:id="24"/>
    <w:bookmarkStart w:id="25" w:name="Xfb5e6aa69cdd32d758d8f83b5161a648c206e6b"/>
    <w:p>
      <w:pPr>
        <w:pStyle w:val="Heading2"/>
      </w:pPr>
      <w:r>
        <w:t xml:space="preserve">6. Safety — exotherm and sensitization (applies to every system)</w:t>
      </w:r>
    </w:p>
    <w:p>
      <w:pPr>
        <w:pStyle w:val="Compact"/>
        <w:numPr>
          <w:ilvl w:val="0"/>
          <w:numId w:val="1001"/>
        </w:numPr>
      </w:pPr>
      <w:r>
        <w:t xml:space="preserve">All epoxies here are</w:t>
      </w:r>
      <w:r>
        <w:t xml:space="preserve"> </w:t>
      </w:r>
      <w:r>
        <w:rPr>
          <w:b/>
          <w:bCs/>
        </w:rPr>
        <w:t xml:space="preserve">skin/respiratory sensitizers</w:t>
      </w:r>
      <w:r>
        <w:t xml:space="preserve"> </w:t>
      </w:r>
      <w:r>
        <w:t xml:space="preserve">(R4): nitrile gloves, ventilation, wash skin with soap not solvent, A-filter respirator for long/enclosed sessions.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Exotherm rules:</w:t>
      </w:r>
      <w:r>
        <w:t xml:space="preserve"> </w:t>
      </w:r>
      <w:r>
        <w:t xml:space="preserve">mix the smallest batch that does the job; pour out of the pot promptly (mass concentrated in a cup accelerates); a warm cup = use immediately or spread thin; a hot/smoking cup = carry outside onto concrete and leave it. Do not bin, do not water-dilute indoors. Nothing goes in the trash until fully cured and cool.</w:t>
      </w:r>
    </w:p>
    <w:p>
      <w:pPr>
        <w:pStyle w:val="Compact"/>
        <w:numPr>
          <w:ilvl w:val="0"/>
          <w:numId w:val="1001"/>
        </w:numPr>
      </w:pPr>
      <w:r>
        <w:t xml:space="preserve">Never mix off-ratio to</w:t>
      </w:r>
      <w:r>
        <w:t xml:space="preserve"> </w:t>
      </w:r>
      <w:r>
        <w:t xml:space="preserve">“speed up”</w:t>
      </w:r>
      <w:r>
        <w:t xml:space="preserve"> </w:t>
      </w:r>
      <w:r>
        <w:t xml:space="preserve">or</w:t>
      </w:r>
      <w:r>
        <w:t xml:space="preserve"> </w:t>
      </w:r>
      <w:r>
        <w:t xml:space="preserve">“slow down”</w:t>
      </w:r>
      <w:r>
        <w:t xml:space="preserve"> </w:t>
      </w:r>
      <w:r>
        <w:t xml:space="preserve">cure. Blend hardener</w:t>
      </w:r>
      <w:r>
        <w:t xml:space="preserve"> </w:t>
      </w:r>
      <w:r>
        <w:rPr>
          <w:i/>
          <w:iCs/>
        </w:rPr>
        <w:t xml:space="preserve">speeds</w:t>
      </w:r>
      <w:r>
        <w:t xml:space="preserve"> </w:t>
      </w:r>
      <w:r>
        <w:t xml:space="preserve">(same total ratio, per R1/R3) instead; off-ratio = uncured sticky part.</w:t>
      </w:r>
    </w:p>
    <w:bookmarkEnd w:id="25"/>
    <w:bookmarkStart w:id="26" w:name="procedure-outline"/>
    <w:p>
      <w:pPr>
        <w:pStyle w:val="Heading2"/>
      </w:pPr>
      <w:r>
        <w:t xml:space="preserve">7. Procedure (outline)</w:t>
      </w:r>
    </w:p>
    <w:p>
      <w:pPr>
        <w:pStyle w:val="Compact"/>
        <w:numPr>
          <w:ilvl w:val="0"/>
          <w:numId w:val="1002"/>
        </w:numPr>
      </w:pPr>
      <w:r>
        <w:t xml:space="preserve">Pick the system from §5 by process standard; confirm pot life fits the job + a margin.</w:t>
      </w:r>
      <w:r>
        <w:t xml:space="preserve"> </w:t>
      </w:r>
      <w:r>
        <w:t xml:space="preserve">⚠ 209 uses</w:t>
      </w:r>
      <w:r>
        <w:t xml:space="preserve"> </w:t>
      </w:r>
      <w:r>
        <w:rPr>
          <w:b/>
          <w:bCs/>
        </w:rPr>
        <w:t xml:space="preserve">3:1 pumps</w:t>
      </w:r>
      <w:r>
        <w:t xml:space="preserve">, not the 5:1 pumps used by 205/206. Check the pump head before stroking; this is the classic wrong-ratio trap.</w:t>
      </w:r>
    </w:p>
    <w:p>
      <w:pPr>
        <w:pStyle w:val="Compact"/>
        <w:numPr>
          <w:ilvl w:val="0"/>
          <w:numId w:val="1002"/>
        </w:numPr>
      </w:pPr>
      <w:r>
        <w:t xml:space="preserve">Weigh (scale, 1 g) or pump (West, full strokes only); record masses on the WO.</w:t>
      </w:r>
    </w:p>
    <w:p>
      <w:pPr>
        <w:pStyle w:val="Compact"/>
        <w:numPr>
          <w:ilvl w:val="0"/>
          <w:numId w:val="1002"/>
        </w:numPr>
      </w:pPr>
      <w:r>
        <w:t xml:space="preserve">Mix ≥2 min scraping walls/base;</w:t>
      </w:r>
      <w:r>
        <w:t xml:space="preserve"> </w:t>
      </w:r>
      <w:r>
        <w:rPr>
          <w:b/>
          <w:bCs/>
        </w:rPr>
        <w:t xml:space="preserve">double-pot</w:t>
      </w:r>
      <w:r>
        <w:t xml:space="preserve"> </w:t>
      </w:r>
      <w:r>
        <w:t xml:space="preserve">(transfer + remix, fresh stick) for anything going on a part surface.</w:t>
      </w:r>
    </w:p>
    <w:p>
      <w:pPr>
        <w:pStyle w:val="Compact"/>
        <w:numPr>
          <w:ilvl w:val="0"/>
          <w:numId w:val="1002"/>
        </w:numPr>
      </w:pPr>
      <w:r>
        <w:t xml:space="preserve">Forged CF mix math (R5): carbon mass ≈ mold volume × 1.4 g/cc; resin ≈ fiber × 1.25. Starving the mix made the first part brittle (failed bend test); don’t eyeball it.</w:t>
      </w:r>
    </w:p>
    <w:p>
      <w:pPr>
        <w:pStyle w:val="Compact"/>
        <w:numPr>
          <w:ilvl w:val="0"/>
          <w:numId w:val="1002"/>
        </w:numPr>
      </w:pPr>
      <w:r>
        <w:t xml:space="preserve">Cure at ≥20 °C wherever possible; log ambient temp on the WO when it isn’t (cold cures run long — see each TDS).</w:t>
      </w:r>
    </w:p>
    <w:p>
      <w:pPr>
        <w:pStyle w:val="Compact"/>
        <w:numPr>
          <w:ilvl w:val="0"/>
          <w:numId w:val="1002"/>
        </w:numPr>
      </w:pPr>
      <w:r>
        <w:t xml:space="preserve">Leftovers: spread thin on scrap or leave outside to cure; label per CS-001.</w:t>
      </w:r>
    </w:p>
    <w:bookmarkEnd w:id="26"/>
    <w:bookmarkStart w:id="27" w:name="quality-checks-acceptance-criteria"/>
    <w:p>
      <w:pPr>
        <w:pStyle w:val="Heading2"/>
      </w:pPr>
      <w:r>
        <w:t xml:space="preserve">8. Quality checks /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Record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Weighed/pumped per §5, recorded</w:t>
            </w:r>
          </w:p>
        </w:tc>
        <w:tc>
          <w:tcPr/>
          <w:p>
            <w:pPr>
              <w:pStyle w:val="Compact"/>
            </w:pPr>
            <w:r>
              <w:t xml:space="preserve">Scale/pump count</w:t>
            </w:r>
          </w:p>
        </w:tc>
        <w:tc>
          <w:tcPr/>
          <w:p>
            <w:pPr>
              <w:pStyle w:val="Compact"/>
            </w:pPr>
            <w:r>
              <w:t xml:space="preserve">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soft spots at demould</w:t>
            </w:r>
          </w:p>
        </w:tc>
        <w:tc>
          <w:tcPr/>
          <w:p>
            <w:pPr>
              <w:pStyle w:val="Compact"/>
            </w:pPr>
            <w:r>
              <w:t xml:space="preserve">Fingernail test on flange/trim zone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WO qualityChecks</w:t>
            </w:r>
          </w:p>
        </w:tc>
      </w:tr>
    </w:tbl>
    <w:bookmarkEnd w:id="27"/>
    <w:bookmarkStart w:id="28" w:name="records"/>
    <w:p>
      <w:pPr>
        <w:pStyle w:val="Heading2"/>
      </w:pPr>
      <w:r>
        <w:t xml:space="preserve">9. Records</w:t>
      </w:r>
    </w:p>
    <w:p>
      <w:pPr>
        <w:pStyle w:val="FirstParagraph"/>
      </w:pPr>
      <w:r>
        <w:t xml:space="preserve">Batch masses, system + hardener speed, ambient temp, cure duration — on every WO that consumes resin.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2026-07-29T03:18:42Z</dcterms:created>
  <dcterms:modified xsi:type="dcterms:W3CDTF">2026-07-29T03:18:42Z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