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CS-014 Receiving, Lots &amp; EH&amp;S</w:t>
      </w:r>
    </w:p>
    <w:tbl>
      <w:tblPr>
        <w:tblStyle w:val="TableGrid"/>
        <w:tblW w:type="auto" w:w="0"/>
        <w:jc w:val="center"/>
        <w:tblLook w:firstColumn="1" w:firstRow="1" w:lastColumn="0" w:lastRow="0" w:noHBand="0" w:noVBand="1" w:val="04A0"/>
      </w:tblPr>
      <w:tblGrid>
        <w:gridCol w:w="4824"/>
        <w:gridCol w:w="4824"/>
      </w:tblGrid>
      <w:tr>
        <w:tc>
          <w:tcPr>
            <w:tcW w:type="dxa" w:w="4824"/>
            <w:shd w:val="clear" w:fill="003262"/>
          </w:tcPr>
          <w:p/>
        </w:tc>
        <w:tc>
          <w:tcPr>
            <w:tcW w:type="dxa" w:w="4824"/>
            <w:shd w:val="clear" w:fill="003262"/>
          </w:tcPr>
          <w:p/>
        </w:tc>
      </w:tr>
      <w:tr>
        <w:tc>
          <w:tcPr>
            <w:tcW w:type="dxa" w:w="4824"/>
          </w:tcPr>
          <w:p>
            <w:r>
              <w:rPr>
                <w:b/>
                <w:sz w:val="19"/>
              </w:rPr>
              <w:t>Doc ID</w:t>
            </w:r>
          </w:p>
        </w:tc>
        <w:tc>
          <w:tcPr>
            <w:tcW w:type="dxa" w:w="4824"/>
          </w:tcPr>
          <w:p>
            <w:r>
              <w:rPr>
                <w:sz w:val="19"/>
              </w:rPr>
              <w:t>CS-014</w:t>
            </w:r>
          </w:p>
        </w:tc>
      </w:tr>
      <w:tr>
        <w:tc>
          <w:tcPr>
            <w:tcW w:type="dxa" w:w="4824"/>
          </w:tcPr>
          <w:p>
            <w:r>
              <w:rPr>
                <w:b/>
                <w:sz w:val="19"/>
              </w:rPr>
              <w:t>Title</w:t>
            </w:r>
          </w:p>
        </w:tc>
        <w:tc>
          <w:tcPr>
            <w:tcW w:type="dxa" w:w="4824"/>
          </w:tcPr>
          <w:p>
            <w:r>
              <w:rPr>
                <w:sz w:val="19"/>
              </w:rPr>
              <w:t>Receiving, Lots &amp; EH&amp;S</w:t>
            </w:r>
          </w:p>
        </w:tc>
      </w:tr>
      <w:tr>
        <w:tc>
          <w:tcPr>
            <w:tcW w:type="dxa" w:w="4824"/>
          </w:tcPr>
          <w:p>
            <w:r>
              <w:rPr>
                <w:b/>
                <w:sz w:val="19"/>
              </w:rPr>
              <w:t>Revision</w:t>
            </w:r>
          </w:p>
        </w:tc>
        <w:tc>
          <w:tcPr>
            <w:tcW w:type="dxa" w:w="4824"/>
          </w:tcPr>
          <w:p>
            <w:r>
              <w:rPr>
                <w:sz w:val="19"/>
              </w:rPr>
              <w:t>A</w:t>
            </w:r>
          </w:p>
        </w:tc>
      </w:tr>
      <w:tr>
        <w:tc>
          <w:tcPr>
            <w:tcW w:type="dxa" w:w="4824"/>
          </w:tcPr>
          <w:p>
            <w:r>
              <w:rPr>
                <w:b/>
                <w:sz w:val="19"/>
              </w:rPr>
              <w:t>Status</w:t>
            </w:r>
          </w:p>
        </w:tc>
        <w:tc>
          <w:tcPr>
            <w:tcW w:type="dxa" w:w="4824"/>
          </w:tcPr>
          <w:p>
            <w:r>
              <w:rPr>
                <w:sz w:val="19"/>
              </w:rPr>
              <w:t>Draft, pending Lead signature</w:t>
            </w:r>
          </w:p>
        </w:tc>
      </w:tr>
      <w:tr>
        <w:tc>
          <w:tcPr>
            <w:tcW w:type="dxa" w:w="4824"/>
          </w:tcPr>
          <w:p>
            <w:r>
              <w:rPr>
                <w:b/>
                <w:sz w:val="19"/>
              </w:rPr>
              <w:t>Effective date</w:t>
            </w:r>
          </w:p>
        </w:tc>
        <w:tc>
          <w:tcPr>
            <w:tcW w:type="dxa" w:w="4824"/>
          </w:tcPr>
          <w:p>
            <w:r>
              <w:rPr>
                <w:sz w:val="19"/>
              </w:rPr>
              <w:t>2026-10-10</w:t>
            </w:r>
          </w:p>
        </w:tc>
      </w:tr>
      <w:tr>
        <w:tc>
          <w:tcPr>
            <w:tcW w:type="dxa" w:w="4824"/>
          </w:tcPr>
          <w:p>
            <w:r>
              <w:rPr>
                <w:b/>
                <w:sz w:val="19"/>
              </w:rPr>
              <w:t>Supersedes</w:t>
            </w:r>
          </w:p>
        </w:tc>
        <w:tc>
          <w:tcPr>
            <w:tcW w:type="dxa" w:w="4824"/>
          </w:tcPr>
          <w:p>
            <w:r>
              <w:rPr>
                <w:sz w:val="19"/>
              </w:rPr>
              <w:t>None (the app README's Receiving section was the only description)</w:t>
            </w:r>
          </w:p>
        </w:tc>
      </w:tr>
    </w:tbl>
    <w:p/>
    <w:p>
      <w:r>
        <w:rPr>
          <w:b/>
        </w:rPr>
        <w:t>Approvals</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val="clear" w:fill="003262"/>
          </w:tcPr>
          <w:p>
            <w:r>
              <w:rPr>
                <w:b/>
                <w:color w:val="FFFFFF"/>
                <w:sz w:val="19"/>
              </w:rPr>
              <w:t>Role</w:t>
            </w:r>
          </w:p>
        </w:tc>
        <w:tc>
          <w:tcPr>
            <w:tcW w:type="dxa" w:w="3216"/>
            <w:shd w:val="clear" w:fill="003262"/>
          </w:tcPr>
          <w:p>
            <w:r>
              <w:rPr>
                <w:b/>
                <w:color w:val="FFFFFF"/>
                <w:sz w:val="19"/>
              </w:rPr>
              <w:t>Name</w:t>
            </w:r>
          </w:p>
        </w:tc>
        <w:tc>
          <w:tcPr>
            <w:tcW w:type="dxa" w:w="3216"/>
            <w:shd w:val="clear" w:fill="003262"/>
          </w:tcPr>
          <w:p>
            <w:r>
              <w:rPr>
                <w:b/>
                <w:color w:val="FFFFFF"/>
                <w:sz w:val="19"/>
              </w:rPr>
              <w:t>Date</w:t>
            </w:r>
          </w:p>
        </w:tc>
      </w:tr>
      <w:tr>
        <w:tc>
          <w:tcPr>
            <w:tcW w:type="dxa" w:w="3216"/>
          </w:tcPr>
          <w:p>
            <w:r>
              <w:rPr>
                <w:sz w:val="19"/>
              </w:rPr>
              <w:t>Author</w:t>
            </w:r>
          </w:p>
        </w:tc>
        <w:tc>
          <w:tcPr>
            <w:tcW w:type="dxa" w:w="3216"/>
          </w:tcPr>
          <w:p>
            <w:r>
              <w:rPr>
                <w:sz w:val="19"/>
              </w:rPr>
              <w:t>Claude (doc overhaul, requested by Simon Starbuck)</w:t>
            </w:r>
          </w:p>
        </w:tc>
        <w:tc>
          <w:tcPr>
            <w:tcW w:type="dxa" w:w="3216"/>
          </w:tcPr>
          <w:p>
            <w:r>
              <w:rPr>
                <w:sz w:val="19"/>
              </w:rPr>
              <w:t>2026-10-10</w:t>
            </w:r>
          </w:p>
        </w:tc>
      </w:tr>
      <w:tr>
        <w:tc>
          <w:tcPr>
            <w:tcW w:type="dxa" w:w="3216"/>
          </w:tcPr>
          <w:p>
            <w:r>
              <w:rPr>
                <w:sz w:val="19"/>
              </w:rPr>
              <w:t>Reviewer</w:t>
            </w:r>
          </w:p>
        </w:tc>
        <w:tc>
          <w:tcPr>
            <w:tcW w:type="dxa" w:w="3216"/>
          </w:tcPr>
          <w:p>
            <w:r>
              <w:rPr>
                <w:sz w:val="19"/>
              </w:rPr>
              <w:t>simon (reviewer agent)</w:t>
            </w:r>
          </w:p>
        </w:tc>
        <w:tc>
          <w:tcPr>
            <w:tcW w:type="dxa" w:w="3216"/>
          </w:tcPr>
          <w:p>
            <w:r>
              <w:rPr>
                <w:sz w:val="19"/>
              </w:rPr>
              <w:t>2026-10-10</w:t>
            </w:r>
          </w:p>
        </w:tc>
      </w:tr>
      <w:tr>
        <w:tc>
          <w:tcPr>
            <w:tcW w:type="dxa" w:w="3216"/>
          </w:tcPr>
          <w:p>
            <w:r>
              <w:rPr>
                <w:sz w:val="19"/>
              </w:rPr>
              <w:t>Approver (Composites Lead)</w:t>
            </w:r>
          </w:p>
        </w:tc>
        <w:tc>
          <w:tcPr>
            <w:tcW w:type="dxa" w:w="3216"/>
          </w:tcPr>
          <w:p/>
        </w:tc>
        <w:tc>
          <w:tcPr>
            <w:tcW w:type="dxa" w:w="3216"/>
          </w:tcPr>
          <w:p/>
        </w:tc>
      </w:tr>
    </w:tbl>
    <w:p/>
    <w:p>
      <w:r>
        <w:rPr>
          <w:b/>
        </w:rPr>
        <w:t>Revision history</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412"/>
            <w:shd w:val="clear" w:fill="003262"/>
          </w:tcPr>
          <w:p>
            <w:r>
              <w:rPr>
                <w:b/>
                <w:color w:val="FFFFFF"/>
                <w:sz w:val="19"/>
              </w:rPr>
              <w:t>Rev</w:t>
            </w:r>
          </w:p>
        </w:tc>
        <w:tc>
          <w:tcPr>
            <w:tcW w:type="dxa" w:w="2412"/>
            <w:shd w:val="clear" w:fill="003262"/>
          </w:tcPr>
          <w:p>
            <w:r>
              <w:rPr>
                <w:b/>
                <w:color w:val="FFFFFF"/>
                <w:sz w:val="19"/>
              </w:rPr>
              <w:t>Date</w:t>
            </w:r>
          </w:p>
        </w:tc>
        <w:tc>
          <w:tcPr>
            <w:tcW w:type="dxa" w:w="2412"/>
            <w:shd w:val="clear" w:fill="003262"/>
          </w:tcPr>
          <w:p>
            <w:r>
              <w:rPr>
                <w:b/>
                <w:color w:val="FFFFFF"/>
                <w:sz w:val="19"/>
              </w:rPr>
              <w:t>Author</w:t>
            </w:r>
          </w:p>
        </w:tc>
        <w:tc>
          <w:tcPr>
            <w:tcW w:type="dxa" w:w="2412"/>
            <w:shd w:val="clear" w:fill="003262"/>
          </w:tcPr>
          <w:p>
            <w:r>
              <w:rPr>
                <w:b/>
                <w:color w:val="FFFFFF"/>
                <w:sz w:val="19"/>
              </w:rPr>
              <w:t>Description of change</w:t>
            </w:r>
          </w:p>
        </w:tc>
      </w:tr>
      <w:tr>
        <w:tc>
          <w:tcPr>
            <w:tcW w:type="dxa" w:w="2412"/>
          </w:tcPr>
          <w:p>
            <w:r>
              <w:rPr>
                <w:sz w:val="19"/>
              </w:rPr>
              <w:t>A</w:t>
            </w:r>
          </w:p>
        </w:tc>
        <w:tc>
          <w:tcPr>
            <w:tcW w:type="dxa" w:w="2412"/>
          </w:tcPr>
          <w:p>
            <w:r>
              <w:rPr>
                <w:sz w:val="19"/>
              </w:rPr>
              <w:t>2026-10-10</w:t>
            </w:r>
          </w:p>
        </w:tc>
        <w:tc>
          <w:tcPr>
            <w:tcW w:type="dxa" w:w="2412"/>
          </w:tcPr>
          <w:p>
            <w:r>
              <w:rPr>
                <w:sz w:val="19"/>
              </w:rPr>
              <w:t>Claude (doc overhaul, requested by Simon Starbuck)</w:t>
            </w:r>
          </w:p>
        </w:tc>
        <w:tc>
          <w:tcPr>
            <w:tcW w:type="dxa" w:w="2412"/>
          </w:tcPr>
          <w:p>
            <w:r>
              <w:rPr>
                <w:sz w:val="19"/>
              </w:rPr>
              <w:t>Initial issue. The receiving desk, lot records, expiry, UC EH&amp;S tags, the RSS import and the ✨ slip and label reads shipped in the app between 2026-08-04 and 2026-10-09 with no standard behind them. New rules: anything a ✨ button fills is checked row by row before it is saved; the receiver sets Hazard on every chemical lot; one open container per material; an emptied container is marked Empty, never deleted. The expired-material rule waits for Simon (§7.9 marks the spot). Register R-014-01..10.</w:t>
            </w:r>
          </w:p>
        </w:tc>
      </w:tr>
    </w:tbl>
    <w:p/>
    <w:p>
      <w:pPr>
        <w:pStyle w:val="Heading2"/>
      </w:pPr>
      <w:r>
        <w:t>1. Purpose</w:t>
      </w:r>
    </w:p>
    <w:p>
      <w:r>
        <w:t>In SN5 the inventory sheet was written at season start and never touched again, so nobody knew what was on the shelf, what was on order, or when to reorder (PP-02). Nobody could say which roll or which jug went into a panel either (PP-09), and chemicals ended up in a food fridge (PP-10). The app now turns a delivery into one record per roll or jug, on the shelf it actually went to, with its vendor lot, expiry and UC EH&amp;S tag. That only works if the delivery is logged the day it arrives and the records are right when they are made.</w:t>
      </w:r>
    </w:p>
    <w:p>
      <w:r>
        <w:t>This standard says how a delivery becomes records, how a container's dates and state are kept, how our records stay matched to the campus EH&amp;S chemical inventory, and what a person checks before saving anything an AI read off a slip or a label.</w:t>
      </w:r>
    </w:p>
    <w:p>
      <w:pPr>
        <w:pStyle w:val="Heading2"/>
      </w:pPr>
      <w:r>
        <w:t>2. Scope</w:t>
      </w:r>
    </w:p>
    <w:p>
      <w:r>
        <w:t>Covered: receiving deliveries, donations, sponsor material and legacy stock into the app; lot records for fabric, resin and hardener, and consumables; received, opened, emptied and expiry dates; UC EH&amp;S tags on chemical containers and reconciliation with the campus RSS Chemicals inventory; the ✨ packing-slip and container-label reads used at receiving.</w:t>
      </w:r>
    </w:p>
    <w:p>
      <w:r>
        <w:t>Not covered:</w:t>
      </w:r>
    </w:p>
    <w:p>
      <w:pPr>
        <w:pStyle w:val="ListBullet"/>
      </w:pPr>
      <w:r>
        <w:t>Approving, buying and paying for a purchase, and the Budget tab: CS-012.</w:t>
      </w:r>
    </w:p>
    <w:p>
      <w:pPr>
        <w:pStyle w:val="ListBullet"/>
      </w:pPr>
      <w:r>
        <w:t>Where things are stored, minimum stock and the Running out card: CS-011.</w:t>
      </w:r>
    </w:p>
    <w:p>
      <w:pPr>
        <w:pStyle w:val="ListBullet"/>
      </w:pPr>
      <w:r>
        <w:t>The printed FEB label, where it goes and what it says, and the EH&amp;S tag as a container's label: CS-001.</w:t>
      </w:r>
    </w:p>
    <w:p>
      <w:pPr>
        <w:pStyle w:val="ListBullet"/>
      </w:pPr>
      <w:r>
        <w:t>Recording which lots went into a part at the cure buy-off: CS-013 §7.2 step 4.</w:t>
      </w:r>
    </w:p>
    <w:p>
      <w:pPr>
        <w:pStyle w:val="ListBullet"/>
      </w:pPr>
      <w:r>
        <w:t>Tooling board and offcuts, which are logged under Inventory → Boards, not at the desk (CS-011 §7.3).</w:t>
      </w:r>
    </w:p>
    <w:p>
      <w:pPr>
        <w:pStyle w:val="Heading2"/>
      </w:pPr>
      <w:r>
        <w:t>3. References</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val="clear" w:fill="003262"/>
          </w:tcPr>
          <w:p>
            <w:r>
              <w:rPr>
                <w:b/>
                <w:color w:val="FFFFFF"/>
                <w:sz w:val="19"/>
              </w:rPr>
              <w:t>Ref</w:t>
            </w:r>
          </w:p>
        </w:tc>
        <w:tc>
          <w:tcPr>
            <w:tcW w:type="dxa" w:w="3216"/>
            <w:shd w:val="clear" w:fill="003262"/>
          </w:tcPr>
          <w:p>
            <w:r>
              <w:rPr>
                <w:b/>
                <w:color w:val="FFFFFF"/>
                <w:sz w:val="19"/>
              </w:rPr>
              <w:t>Document</w:t>
            </w:r>
          </w:p>
        </w:tc>
        <w:tc>
          <w:tcPr>
            <w:tcW w:type="dxa" w:w="3216"/>
            <w:shd w:val="clear" w:fill="003262"/>
          </w:tcPr>
          <w:p>
            <w:r>
              <w:rPr>
                <w:b/>
                <w:color w:val="FFFFFF"/>
                <w:sz w:val="19"/>
              </w:rPr>
              <w:t>Where</w:t>
            </w:r>
          </w:p>
        </w:tc>
      </w:tr>
      <w:tr>
        <w:tc>
          <w:tcPr>
            <w:tcW w:type="dxa" w:w="3216"/>
          </w:tcPr>
          <w:p>
            <w:r>
              <w:rPr>
                <w:sz w:val="19"/>
              </w:rPr>
              <w:t>R1</w:t>
            </w:r>
          </w:p>
        </w:tc>
        <w:tc>
          <w:tcPr>
            <w:tcW w:type="dxa" w:w="3216"/>
          </w:tcPr>
          <w:p>
            <w:r>
              <w:rPr>
                <w:sz w:val="19"/>
              </w:rPr>
              <w:t>PP-02, PP-09, PP-10 RCAs</w:t>
            </w:r>
          </w:p>
        </w:tc>
        <w:tc>
          <w:tcPr>
            <w:tcW w:type="dxa" w:w="3216"/>
          </w:tcPr>
          <w:p>
            <w:r>
              <w:rPr>
                <w:sz w:val="19"/>
              </w:rPr>
              <w:t xml:space="preserve">FEB-COMP-PP-001, </w:t>
            </w:r>
            <w:r>
              <w:rPr>
                <w:rFonts w:ascii="Courier New" w:hAnsi="Courier New"/>
                <w:sz w:val="19"/>
              </w:rPr>
              <w:t>01 Pain Points and Improvements/src/pain-points.md</w:t>
            </w:r>
          </w:p>
        </w:tc>
      </w:tr>
      <w:tr>
        <w:tc>
          <w:tcPr>
            <w:tcW w:type="dxa" w:w="3216"/>
          </w:tcPr>
          <w:p>
            <w:r>
              <w:rPr>
                <w:sz w:val="19"/>
              </w:rPr>
              <w:t>R2</w:t>
            </w:r>
          </w:p>
        </w:tc>
        <w:tc>
          <w:tcPr>
            <w:tcW w:type="dxa" w:w="3216"/>
          </w:tcPr>
          <w:p>
            <w:r>
              <w:rPr>
                <w:sz w:val="19"/>
              </w:rPr>
              <w:t>CS-001 (labels; the EH&amp;S tag as a label, §7.11)</w:t>
            </w:r>
          </w:p>
        </w:tc>
        <w:tc>
          <w:tcPr>
            <w:tcW w:type="dxa" w:w="3216"/>
          </w:tcPr>
          <w:p>
            <w:r>
              <w:rPr>
                <w:sz w:val="19"/>
              </w:rPr>
              <w:t>this series</w:t>
            </w:r>
          </w:p>
        </w:tc>
      </w:tr>
      <w:tr>
        <w:tc>
          <w:tcPr>
            <w:tcW w:type="dxa" w:w="3216"/>
          </w:tcPr>
          <w:p>
            <w:r>
              <w:rPr>
                <w:sz w:val="19"/>
              </w:rPr>
              <w:t>R3</w:t>
            </w:r>
          </w:p>
        </w:tc>
        <w:tc>
          <w:tcPr>
            <w:tcW w:type="dxa" w:w="3216"/>
          </w:tcPr>
          <w:p>
            <w:r>
              <w:rPr>
                <w:sz w:val="19"/>
              </w:rPr>
              <w:t>CS-011 (storage map §7.3, minimums §5, chemical storage §6, stock walk §7.1)</w:t>
            </w:r>
          </w:p>
        </w:tc>
        <w:tc>
          <w:tcPr>
            <w:tcW w:type="dxa" w:w="3216"/>
          </w:tcPr>
          <w:p>
            <w:r>
              <w:rPr>
                <w:sz w:val="19"/>
              </w:rPr>
              <w:t>this series</w:t>
            </w:r>
          </w:p>
        </w:tc>
      </w:tr>
      <w:tr>
        <w:tc>
          <w:tcPr>
            <w:tcW w:type="dxa" w:w="3216"/>
          </w:tcPr>
          <w:p>
            <w:r>
              <w:rPr>
                <w:sz w:val="19"/>
              </w:rPr>
              <w:t>R4</w:t>
            </w:r>
          </w:p>
        </w:tc>
        <w:tc>
          <w:tcPr>
            <w:tcW w:type="dxa" w:w="3216"/>
          </w:tcPr>
          <w:p>
            <w:r>
              <w:rPr>
                <w:sz w:val="19"/>
              </w:rPr>
              <w:t>CS-012 (purchases, line items and the Budget tab, §7.1, §7.2, §7.9; sponsor asks §7.6)</w:t>
            </w:r>
          </w:p>
        </w:tc>
        <w:tc>
          <w:tcPr>
            <w:tcW w:type="dxa" w:w="3216"/>
          </w:tcPr>
          <w:p>
            <w:r>
              <w:rPr>
                <w:sz w:val="19"/>
              </w:rPr>
              <w:t>this series</w:t>
            </w:r>
          </w:p>
        </w:tc>
      </w:tr>
      <w:tr>
        <w:tc>
          <w:tcPr>
            <w:tcW w:type="dxa" w:w="3216"/>
          </w:tcPr>
          <w:p>
            <w:r>
              <w:rPr>
                <w:sz w:val="19"/>
              </w:rPr>
              <w:t>R5</w:t>
            </w:r>
          </w:p>
        </w:tc>
        <w:tc>
          <w:tcPr>
            <w:tcW w:type="dxa" w:w="3216"/>
          </w:tcPr>
          <w:p>
            <w:r>
              <w:rPr>
                <w:sz w:val="19"/>
              </w:rPr>
              <w:t>CS-013 (ID grammar §4.1; lot capture at the cure buy-off §7.2 step 4)</w:t>
            </w:r>
          </w:p>
        </w:tc>
        <w:tc>
          <w:tcPr>
            <w:tcW w:type="dxa" w:w="3216"/>
          </w:tcPr>
          <w:p>
            <w:r>
              <w:rPr>
                <w:sz w:val="19"/>
              </w:rPr>
              <w:t>this series</w:t>
            </w:r>
          </w:p>
        </w:tc>
      </w:tr>
      <w:tr>
        <w:tc>
          <w:tcPr>
            <w:tcW w:type="dxa" w:w="3216"/>
          </w:tcPr>
          <w:p>
            <w:r>
              <w:rPr>
                <w:sz w:val="19"/>
              </w:rPr>
              <w:t>R6</w:t>
            </w:r>
          </w:p>
        </w:tc>
        <w:tc>
          <w:tcPr>
            <w:tcW w:type="dxa" w:w="3216"/>
          </w:tcPr>
          <w:p>
            <w:r>
              <w:rPr>
                <w:sz w:val="19"/>
              </w:rPr>
              <w:t>CS-008 (expiry check before mixing, §7 step 1)</w:t>
            </w:r>
          </w:p>
        </w:tc>
        <w:tc>
          <w:tcPr>
            <w:tcW w:type="dxa" w:w="3216"/>
          </w:tcPr>
          <w:p>
            <w:r>
              <w:rPr>
                <w:sz w:val="19"/>
              </w:rPr>
              <w:t>this series</w:t>
            </w:r>
          </w:p>
        </w:tc>
      </w:tr>
      <w:tr>
        <w:tc>
          <w:tcPr>
            <w:tcW w:type="dxa" w:w="3216"/>
          </w:tcPr>
          <w:p>
            <w:r>
              <w:rPr>
                <w:sz w:val="19"/>
              </w:rPr>
              <w:t>R7</w:t>
            </w:r>
          </w:p>
        </w:tc>
        <w:tc>
          <w:tcPr>
            <w:tcW w:type="dxa" w:w="3216"/>
          </w:tcPr>
          <w:p>
            <w:r>
              <w:rPr>
                <w:sz w:val="19"/>
              </w:rPr>
              <w:t>CS-000 §2 (an AI read is never a source for a standard)</w:t>
            </w:r>
          </w:p>
        </w:tc>
        <w:tc>
          <w:tcPr>
            <w:tcW w:type="dxa" w:w="3216"/>
          </w:tcPr>
          <w:p>
            <w:r>
              <w:rPr>
                <w:sz w:val="19"/>
              </w:rPr>
              <w:t>this series</w:t>
            </w:r>
          </w:p>
        </w:tc>
      </w:tr>
      <w:tr>
        <w:tc>
          <w:tcPr>
            <w:tcW w:type="dxa" w:w="3216"/>
          </w:tcPr>
          <w:p>
            <w:r>
              <w:rPr>
                <w:sz w:val="19"/>
              </w:rPr>
              <w:t>R8</w:t>
            </w:r>
          </w:p>
        </w:tc>
        <w:tc>
          <w:tcPr>
            <w:tcW w:type="dxa" w:w="3216"/>
          </w:tcPr>
          <w:p>
            <w:r>
              <w:rPr>
                <w:sz w:val="19"/>
              </w:rPr>
              <w:t>IN2 + AT30 SLOW + AT30 FAST SDS (Easy Composites)</w:t>
            </w:r>
          </w:p>
        </w:tc>
        <w:tc>
          <w:tcPr>
            <w:tcW w:type="dxa" w:w="3216"/>
          </w:tcPr>
          <w:p>
            <w:r>
              <w:rPr>
                <w:rFonts w:ascii="Courier New" w:hAnsi="Courier New"/>
                <w:sz w:val="19"/>
              </w:rPr>
              <w:t>03 Datasheets/EC-SDS-IN2-Epoxy-Infusion-Resin-and-Hardener.pdf</w:t>
            </w:r>
          </w:p>
        </w:tc>
      </w:tr>
      <w:tr>
        <w:tc>
          <w:tcPr>
            <w:tcW w:type="dxa" w:w="3216"/>
          </w:tcPr>
          <w:p>
            <w:r>
              <w:rPr>
                <w:sz w:val="19"/>
              </w:rPr>
              <w:t>R9</w:t>
            </w:r>
          </w:p>
        </w:tc>
        <w:tc>
          <w:tcPr>
            <w:tcW w:type="dxa" w:w="3216"/>
          </w:tcPr>
          <w:p>
            <w:r>
              <w:rPr>
                <w:sz w:val="19"/>
              </w:rPr>
              <w:t>XCR resin + hardener SDS (Easy Composites)</w:t>
            </w:r>
          </w:p>
        </w:tc>
        <w:tc>
          <w:tcPr>
            <w:tcW w:type="dxa" w:w="3216"/>
          </w:tcPr>
          <w:p>
            <w:r>
              <w:rPr>
                <w:rFonts w:ascii="Courier New" w:hAnsi="Courier New"/>
                <w:sz w:val="19"/>
              </w:rPr>
              <w:t>03 Datasheets/EC-SDS-XCR-Epoxy-Coating-Resin-Combined.pdf</w:t>
            </w:r>
          </w:p>
        </w:tc>
      </w:tr>
      <w:tr>
        <w:tc>
          <w:tcPr>
            <w:tcW w:type="dxa" w:w="3216"/>
          </w:tcPr>
          <w:p>
            <w:r>
              <w:rPr>
                <w:sz w:val="19"/>
              </w:rPr>
              <w:t>R10</w:t>
            </w:r>
          </w:p>
        </w:tc>
        <w:tc>
          <w:tcPr>
            <w:tcW w:type="dxa" w:w="3216"/>
          </w:tcPr>
          <w:p>
            <w:r>
              <w:rPr>
                <w:sz w:val="19"/>
              </w:rPr>
              <w:t>West System 105, 205, 206, 209 SDSs</w:t>
            </w:r>
          </w:p>
        </w:tc>
        <w:tc>
          <w:tcPr>
            <w:tcW w:type="dxa" w:w="3216"/>
          </w:tcPr>
          <w:p>
            <w:r>
              <w:rPr>
                <w:rFonts w:ascii="Courier New" w:hAnsi="Courier New"/>
                <w:sz w:val="19"/>
              </w:rPr>
              <w:t>03 Datasheets/WEST-SDS-105-Epoxy-Resin.pdf</w:t>
            </w:r>
            <w:r>
              <w:rPr>
                <w:sz w:val="19"/>
              </w:rPr>
              <w:t xml:space="preserve">, </w:t>
            </w:r>
            <w:r>
              <w:rPr>
                <w:rFonts w:ascii="Courier New" w:hAnsi="Courier New"/>
                <w:sz w:val="19"/>
              </w:rPr>
              <w:t>WEST-SDS-205-Fast-Hardener.pdf</w:t>
            </w:r>
            <w:r>
              <w:rPr>
                <w:sz w:val="19"/>
              </w:rPr>
              <w:t xml:space="preserve">, </w:t>
            </w:r>
            <w:r>
              <w:rPr>
                <w:rFonts w:ascii="Courier New" w:hAnsi="Courier New"/>
                <w:sz w:val="19"/>
              </w:rPr>
              <w:t>WEST-SDS-206-Slow-Hardener.pdf</w:t>
            </w:r>
            <w:r>
              <w:rPr>
                <w:sz w:val="19"/>
              </w:rPr>
              <w:t xml:space="preserve">, </w:t>
            </w:r>
            <w:r>
              <w:rPr>
                <w:rFonts w:ascii="Courier New" w:hAnsi="Courier New"/>
                <w:sz w:val="19"/>
              </w:rPr>
              <w:t>WEST-SDS-209-Extra-Slow-Hardener.pdf</w:t>
            </w:r>
          </w:p>
        </w:tc>
      </w:tr>
      <w:tr>
        <w:tc>
          <w:tcPr>
            <w:tcW w:type="dxa" w:w="3216"/>
          </w:tcPr>
          <w:p>
            <w:r>
              <w:rPr>
                <w:sz w:val="19"/>
              </w:rPr>
              <w:t>R11</w:t>
            </w:r>
          </w:p>
        </w:tc>
        <w:tc>
          <w:tcPr>
            <w:tcW w:type="dxa" w:w="3216"/>
          </w:tcPr>
          <w:p>
            <w:r>
              <w:rPr>
                <w:sz w:val="19"/>
              </w:rPr>
              <w:t>Airtac 2 SDS (Airtech)</w:t>
            </w:r>
          </w:p>
        </w:tc>
        <w:tc>
          <w:tcPr>
            <w:tcW w:type="dxa" w:w="3216"/>
          </w:tcPr>
          <w:p>
            <w:r>
              <w:rPr>
                <w:rFonts w:ascii="Courier New" w:hAnsi="Courier New"/>
                <w:sz w:val="19"/>
              </w:rPr>
              <w:t>03 Datasheets/airtac2spray.pdf</w:t>
            </w:r>
          </w:p>
        </w:tc>
      </w:tr>
      <w:tr>
        <w:tc>
          <w:tcPr>
            <w:tcW w:type="dxa" w:w="3216"/>
          </w:tcPr>
          <w:p>
            <w:r>
              <w:rPr>
                <w:sz w:val="19"/>
              </w:rPr>
              <w:t>R12</w:t>
            </w:r>
          </w:p>
        </w:tc>
        <w:tc>
          <w:tcPr>
            <w:tcW w:type="dxa" w:w="3216"/>
          </w:tcPr>
          <w:p>
            <w:r>
              <w:rPr>
                <w:sz w:val="19"/>
              </w:rPr>
              <w:t>LiME LiNE UC4:1 Part A SDS</w:t>
            </w:r>
          </w:p>
        </w:tc>
        <w:tc>
          <w:tcPr>
            <w:tcW w:type="dxa" w:w="3216"/>
          </w:tcPr>
          <w:p>
            <w:r>
              <w:rPr>
                <w:rFonts w:ascii="Courier New" w:hAnsi="Courier New"/>
                <w:sz w:val="19"/>
              </w:rPr>
              <w:t>03 Datasheets/LIMELINE-SDS-UC4-1-Clearcoat-Part-A.pdf</w:t>
            </w:r>
          </w:p>
        </w:tc>
      </w:tr>
      <w:tr>
        <w:tc>
          <w:tcPr>
            <w:tcW w:type="dxa" w:w="3216"/>
          </w:tcPr>
          <w:p>
            <w:r>
              <w:rPr>
                <w:sz w:val="19"/>
              </w:rPr>
              <w:t>R13</w:t>
            </w:r>
          </w:p>
        </w:tc>
        <w:tc>
          <w:tcPr>
            <w:tcW w:type="dxa" w:w="3216"/>
          </w:tcPr>
          <w:p>
            <w:r>
              <w:rPr>
                <w:sz w:val="19"/>
              </w:rPr>
              <w:t>Acetone and 91% IPA SDSs (stand-ins for the team's jugs; no number is read from them)</w:t>
            </w:r>
          </w:p>
        </w:tc>
        <w:tc>
          <w:tcPr>
            <w:tcW w:type="dxa" w:w="3216"/>
          </w:tcPr>
          <w:p>
            <w:r>
              <w:rPr>
                <w:rFonts w:ascii="Courier New" w:hAnsi="Courier New"/>
                <w:sz w:val="19"/>
              </w:rPr>
              <w:t>03 Datasheets/SDS-Acetone-Fisher-A18.pdf</w:t>
            </w:r>
            <w:r>
              <w:rPr>
                <w:sz w:val="19"/>
              </w:rPr>
              <w:t xml:space="preserve">, </w:t>
            </w:r>
            <w:r>
              <w:rPr>
                <w:rFonts w:ascii="Courier New" w:hAnsi="Courier New"/>
                <w:sz w:val="19"/>
              </w:rPr>
              <w:t>03 Datasheets/SDS-Isopropyl-Alcohol-91-Alliance.pdf</w:t>
            </w:r>
          </w:p>
        </w:tc>
      </w:tr>
      <w:tr>
        <w:tc>
          <w:tcPr>
            <w:tcW w:type="dxa" w:w="3216"/>
          </w:tcPr>
          <w:p>
            <w:r>
              <w:rPr>
                <w:sz w:val="19"/>
              </w:rPr>
              <w:t>R14</w:t>
            </w:r>
          </w:p>
        </w:tc>
        <w:tc>
          <w:tcPr>
            <w:tcW w:type="dxa" w:w="3216"/>
          </w:tcPr>
          <w:p>
            <w:r>
              <w:rPr>
                <w:sz w:val="19"/>
              </w:rPr>
              <w:t>IN2 and XCR TDSs (shelf life and storage)</w:t>
            </w:r>
          </w:p>
        </w:tc>
        <w:tc>
          <w:tcPr>
            <w:tcW w:type="dxa" w:w="3216"/>
          </w:tcPr>
          <w:p>
            <w:r>
              <w:rPr>
                <w:rFonts w:ascii="Courier New" w:hAnsi="Courier New"/>
                <w:sz w:val="19"/>
              </w:rPr>
              <w:t>03 Datasheets/EC-TDS-IN2-Infusion-Resin.pdf</w:t>
            </w:r>
            <w:r>
              <w:rPr>
                <w:sz w:val="19"/>
              </w:rPr>
              <w:t xml:space="preserve">, </w:t>
            </w:r>
            <w:r>
              <w:rPr>
                <w:rFonts w:ascii="Courier New" w:hAnsi="Courier New"/>
                <w:sz w:val="19"/>
              </w:rPr>
              <w:t>03 Datasheets/EC-TDS-XCR-Epoxy-Coating-Resin.pdf</w:t>
            </w:r>
          </w:p>
        </w:tc>
      </w:tr>
      <w:tr>
        <w:tc>
          <w:tcPr>
            <w:tcW w:type="dxa" w:w="3216"/>
          </w:tcPr>
          <w:p>
            <w:r>
              <w:rPr>
                <w:sz w:val="19"/>
              </w:rPr>
              <w:t>R15</w:t>
            </w:r>
          </w:p>
        </w:tc>
        <w:tc>
          <w:tcPr>
            <w:tcW w:type="dxa" w:w="3216"/>
          </w:tcPr>
          <w:p>
            <w:r>
              <w:rPr>
                <w:sz w:val="19"/>
              </w:rPr>
              <w:t>App README: Receiving, Scanning, Which lots went in</w:t>
            </w:r>
          </w:p>
        </w:tc>
        <w:tc>
          <w:tcPr>
            <w:tcW w:type="dxa" w:w="3216"/>
          </w:tcPr>
          <w:p>
            <w:r>
              <w:rPr>
                <w:rFonts w:ascii="Courier New" w:hAnsi="Courier New"/>
                <w:sz w:val="19"/>
              </w:rPr>
              <w:t>06 Composites App/app/README.md</w:t>
            </w:r>
          </w:p>
        </w:tc>
      </w:tr>
      <w:tr>
        <w:tc>
          <w:tcPr>
            <w:tcW w:type="dxa" w:w="3216"/>
          </w:tcPr>
          <w:p>
            <w:r>
              <w:rPr>
                <w:sz w:val="19"/>
              </w:rPr>
              <w:t>R16</w:t>
            </w:r>
          </w:p>
        </w:tc>
        <w:tc>
          <w:tcPr>
            <w:tcW w:type="dxa" w:w="3216"/>
          </w:tcPr>
          <w:p>
            <w:r>
              <w:rPr>
                <w:sz w:val="19"/>
              </w:rPr>
              <w:t>The code this standard describes</w:t>
            </w:r>
          </w:p>
        </w:tc>
        <w:tc>
          <w:tcPr>
            <w:tcW w:type="dxa" w:w="3216"/>
          </w:tcPr>
          <w:p>
            <w:r>
              <w:rPr>
                <w:rFonts w:ascii="Courier New" w:hAnsi="Courier New"/>
                <w:sz w:val="19"/>
              </w:rPr>
              <w:t>06 Composites App/app/receiving.js</w:t>
            </w:r>
            <w:r>
              <w:rPr>
                <w:sz w:val="19"/>
              </w:rPr>
              <w:t xml:space="preserve">, </w:t>
            </w:r>
            <w:r>
              <w:rPr>
                <w:rFonts w:ascii="Courier New" w:hAnsi="Courier New"/>
                <w:sz w:val="19"/>
              </w:rPr>
              <w:t>inventory.js</w:t>
            </w:r>
            <w:r>
              <w:rPr>
                <w:sz w:val="19"/>
              </w:rPr>
              <w:t xml:space="preserve">, </w:t>
            </w:r>
            <w:r>
              <w:rPr>
                <w:rFonts w:ascii="Courier New" w:hAnsi="Courier New"/>
                <w:sz w:val="19"/>
              </w:rPr>
              <w:t>shop.js</w:t>
            </w:r>
            <w:r>
              <w:rPr>
                <w:sz w:val="19"/>
              </w:rPr>
              <w:t xml:space="preserve">, </w:t>
            </w:r>
            <w:r>
              <w:rPr>
                <w:rFonts w:ascii="Courier New" w:hAnsi="Courier New"/>
                <w:sz w:val="19"/>
              </w:rPr>
              <w:t>materials.js</w:t>
            </w:r>
            <w:r>
              <w:rPr>
                <w:sz w:val="19"/>
              </w:rPr>
              <w:t xml:space="preserve">, </w:t>
            </w:r>
            <w:r>
              <w:rPr>
                <w:rFonts w:ascii="Courier New" w:hAnsi="Courier New"/>
                <w:sz w:val="19"/>
              </w:rPr>
              <w:t>ehsimport.js</w:t>
            </w:r>
            <w:r>
              <w:rPr>
                <w:sz w:val="19"/>
              </w:rPr>
              <w:t xml:space="preserve">, </w:t>
            </w:r>
            <w:r>
              <w:rPr>
                <w:rFonts w:ascii="Courier New" w:hAnsi="Courier New"/>
                <w:sz w:val="19"/>
              </w:rPr>
              <w:t>scan.js</w:t>
            </w:r>
            <w:r>
              <w:rPr>
                <w:sz w:val="19"/>
              </w:rPr>
              <w:t xml:space="preserve">, </w:t>
            </w:r>
            <w:r>
              <w:rPr>
                <w:rFonts w:ascii="Courier New" w:hAnsi="Courier New"/>
                <w:sz w:val="19"/>
              </w:rPr>
              <w:t>core.js</w:t>
            </w:r>
            <w:r>
              <w:rPr>
                <w:sz w:val="19"/>
              </w:rPr>
              <w:t xml:space="preserve">; </w:t>
            </w:r>
            <w:r>
              <w:rPr>
                <w:rFonts w:ascii="Courier New" w:hAnsi="Courier New"/>
                <w:sz w:val="19"/>
              </w:rPr>
              <w:t>06 Composites App/functions/index.js</w:t>
            </w:r>
          </w:p>
        </w:tc>
      </w:tr>
    </w:tbl>
    <w:p/>
    <w:p>
      <w:pPr>
        <w:pStyle w:val="Heading2"/>
      </w:pPr>
      <w:r>
        <w:t>4. Definitions</w:t>
      </w:r>
    </w:p>
    <w:p>
      <w:pPr>
        <w:pStyle w:val="ListBullet"/>
      </w:pPr>
      <w:r>
        <w:rPr>
          <w:b/>
        </w:rPr>
        <w:t>Lot</w:t>
      </w:r>
      <w:r>
        <w:t xml:space="preserve">: one record for one physical thing on a shelf. Fabric, resin and hardener are one record per roll or container. A consumable is one record carrying a count (How many). IDs are </w:t>
      </w:r>
      <w:r>
        <w:rPr>
          <w:rFonts w:ascii="Courier New" w:hAnsi="Courier New"/>
        </w:rPr>
        <w:t>FAB-SN6-###</w:t>
      </w:r>
      <w:r>
        <w:t xml:space="preserve">, </w:t>
      </w:r>
      <w:r>
        <w:rPr>
          <w:rFonts w:ascii="Courier New" w:hAnsi="Courier New"/>
        </w:rPr>
        <w:t>RSN-SN6-###</w:t>
      </w:r>
      <w:r>
        <w:t xml:space="preserve"> and </w:t>
      </w:r>
      <w:r>
        <w:rPr>
          <w:rFonts w:ascii="Courier New" w:hAnsi="Courier New"/>
        </w:rPr>
        <w:t>CON-SN6-###</w:t>
      </w:r>
      <w:r>
        <w:t>, each with its own counter (</w:t>
      </w:r>
      <w:r>
        <w:rPr>
          <w:rFonts w:ascii="Courier New" w:hAnsi="Courier New"/>
        </w:rPr>
        <w:t>fb.js</w:t>
      </w:r>
      <w:r>
        <w:t xml:space="preserve">). Resin and hardener share the </w:t>
      </w:r>
      <w:r>
        <w:rPr>
          <w:rFonts w:ascii="Courier New" w:hAnsi="Courier New"/>
        </w:rPr>
        <w:t>RSN</w:t>
      </w:r>
      <w:r>
        <w:t xml:space="preserve"> prefix; the record's Role says which.</w:t>
      </w:r>
    </w:p>
    <w:p>
      <w:pPr>
        <w:pStyle w:val="ListBullet"/>
      </w:pPr>
      <w:r>
        <w:rPr>
          <w:b/>
        </w:rPr>
        <w:t>Material type</w:t>
      </w:r>
      <w:r>
        <w:t>: what kind of thing a lot is across every container of it (</w:t>
      </w:r>
      <w:r>
        <w:rPr>
          <w:rFonts w:ascii="Courier New" w:hAnsi="Courier New"/>
        </w:rPr>
        <w:t>IN2</w:t>
      </w:r>
      <w:r>
        <w:t xml:space="preserve">, </w:t>
      </w:r>
      <w:r>
        <w:rPr>
          <w:rFonts w:ascii="Courier New" w:hAnsi="Courier New"/>
        </w:rPr>
        <w:t>AT30</w:t>
      </w:r>
      <w:r>
        <w:t xml:space="preserve">, </w:t>
      </w:r>
      <w:r>
        <w:rPr>
          <w:rFonts w:ascii="Courier New" w:hAnsi="Courier New"/>
        </w:rPr>
        <w:t>WEST-206</w:t>
      </w:r>
      <w:r>
        <w:t>). The reorder count, the grouped shelf rows and the TDS and SDS buttons all key on it (</w:t>
      </w:r>
      <w:r>
        <w:rPr>
          <w:rFonts w:ascii="Courier New" w:hAnsi="Courier New"/>
        </w:rPr>
        <w:t>materials.js</w:t>
      </w:r>
      <w:r>
        <w:t>).</w:t>
      </w:r>
    </w:p>
    <w:p>
      <w:pPr>
        <w:pStyle w:val="ListBullet"/>
      </w:pPr>
      <w:r>
        <w:rPr>
          <w:b/>
        </w:rPr>
        <w:t>Vendor lot number</w:t>
      </w:r>
      <w:r>
        <w:t>: the lot or batch number the manufacturer printed on the container or the slip. Blank when none is printed.</w:t>
      </w:r>
    </w:p>
    <w:p>
      <w:pPr>
        <w:pStyle w:val="ListBullet"/>
      </w:pPr>
      <w:r>
        <w:rPr>
          <w:b/>
        </w:rPr>
        <w:t>EH&amp;S tag</w:t>
      </w:r>
      <w:r>
        <w:t>: the UC EH&amp;S barcode sticker campus puts on every chemical container for the RSS Chemicals inventory. A Data Matrix square marked RSS, with a 24-character code of letters and digits printed in six groups of four. The last 12 characters are reprinted down the right edge (the edge print), which is the part still readable on a wrapped or scuffed label (</w:t>
      </w:r>
      <w:r>
        <w:rPr>
          <w:rFonts w:ascii="Courier New" w:hAnsi="Courier New"/>
        </w:rPr>
        <w:t>core.js</w:t>
      </w:r>
      <w:r>
        <w:t xml:space="preserve">, EHS_LEN 24, EHS_TAIL 12). Example, made up: </w:t>
      </w:r>
      <w:r>
        <w:rPr>
          <w:rFonts w:ascii="Courier New" w:hAnsi="Courier New"/>
        </w:rPr>
        <w:t>CA00 0000 0000 0000 0024 3F1C</w:t>
      </w:r>
      <w:r>
        <w:t>. Stored in the lot's EH&amp;S barcode field. FEB never prints one.</w:t>
      </w:r>
    </w:p>
    <w:p>
      <w:pPr>
        <w:pStyle w:val="ListBullet"/>
      </w:pPr>
      <w:r>
        <w:rPr>
          <w:b/>
        </w:rPr>
        <w:t>RSS sublocation tag</w:t>
      </w:r>
      <w:r>
        <w:t>: the same kind of sticker on a shelf or cabinet. Stored in the storage location's EH&amp;S barcode field.</w:t>
      </w:r>
    </w:p>
    <w:p>
      <w:pPr>
        <w:pStyle w:val="ListBullet"/>
      </w:pPr>
      <w:r>
        <w:rPr>
          <w:b/>
        </w:rPr>
        <w:t>Incoming</w:t>
      </w:r>
      <w:r>
        <w:t>: the card on the storage map listing every purchase line bought and not yet fully received.</w:t>
      </w:r>
    </w:p>
    <w:p>
      <w:pPr>
        <w:pStyle w:val="ListBullet"/>
      </w:pPr>
      <w:r>
        <w:rPr>
          <w:b/>
        </w:rPr>
        <w:t>State</w:t>
      </w:r>
      <w:r>
        <w:t>: Sealed, Open, Empty or Expired (</w:t>
      </w:r>
      <w:r>
        <w:rPr>
          <w:rFonts w:ascii="Courier New" w:hAnsi="Courier New"/>
        </w:rPr>
        <w:t>shop.js</w:t>
      </w:r>
      <w:r>
        <w:t xml:space="preserve"> LOT_STATE). A received lot starts Sealed.</w:t>
      </w:r>
    </w:p>
    <w:p>
      <w:pPr>
        <w:pStyle w:val="ListBullet"/>
      </w:pPr>
      <w:r>
        <w:rPr>
          <w:b/>
        </w:rPr>
        <w:t>Received, Opened, Emptied, Expires</w:t>
      </w:r>
      <w:r>
        <w:t>: the lot's date fields. Received comes from the desk's Arrived date. Opened and Emptied are stamped by the Open and Empty buttons on the lot's page (and by "now empty" when logging use). Changing State in Edit stamps nothing, so use the buttons.</w:t>
      </w:r>
    </w:p>
    <w:p>
      <w:pPr>
        <w:pStyle w:val="ListBullet"/>
      </w:pPr>
      <w:r>
        <w:rPr>
          <w:b/>
        </w:rPr>
        <w:t>Expiry from</w:t>
      </w:r>
      <w:r>
        <w:t>: where the Expires date came from: "vendor label" (a person typed it), "vendor label (AI read)" (a ✨ read set it and nobody has typed over it) or "shelf-life table" (Link materials worked it out from Received plus the TDS shelf life).</w:t>
      </w:r>
    </w:p>
    <w:p>
      <w:pPr>
        <w:pStyle w:val="ListBullet"/>
      </w:pPr>
      <w:r>
        <w:rPr>
          <w:b/>
        </w:rPr>
        <w:t>How full</w:t>
      </w:r>
      <w:r>
        <w:t>: Full, Half, Low or Empty. A coarse level, not a measurement.</w:t>
      </w:r>
    </w:p>
    <w:p>
      <w:pPr>
        <w:pStyle w:val="ListBullet"/>
      </w:pPr>
      <w:r>
        <w:rPr>
          <w:b/>
        </w:rPr>
        <w:t>Hazard</w:t>
      </w:r>
      <w:r>
        <w:t>: flammable, not flammable, or blank. Blank means unknown, and an unknown lot cannot trigger the storage map's flammables warning.</w:t>
      </w:r>
    </w:p>
    <w:p>
      <w:pPr>
        <w:pStyle w:val="ListBullet"/>
      </w:pPr>
      <w:r>
        <w:rPr>
          <w:b/>
        </w:rPr>
        <w:t>AI read</w:t>
      </w:r>
      <w:r>
        <w:t>: a value a ✨ button filled from a photo (packing slip, container label, receipt). A draft until a person checks it (§7.4).</w:t>
      </w:r>
    </w:p>
    <w:p>
      <w:pPr>
        <w:pStyle w:val="Heading2"/>
      </w:pPr>
      <w:r>
        <w:t>5. Equipment &amp; Materials</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412"/>
            <w:shd w:val="clear" w:fill="003262"/>
          </w:tcPr>
          <w:p>
            <w:r>
              <w:rPr>
                <w:b/>
                <w:color w:val="FFFFFF"/>
                <w:sz w:val="19"/>
              </w:rPr>
              <w:t>Item</w:t>
            </w:r>
          </w:p>
        </w:tc>
        <w:tc>
          <w:tcPr>
            <w:tcW w:type="dxa" w:w="2412"/>
            <w:shd w:val="clear" w:fill="003262"/>
          </w:tcPr>
          <w:p>
            <w:r>
              <w:rPr>
                <w:b/>
                <w:color w:val="FFFFFF"/>
                <w:sz w:val="19"/>
              </w:rPr>
              <w:t>Spec / product</w:t>
            </w:r>
          </w:p>
        </w:tc>
        <w:tc>
          <w:tcPr>
            <w:tcW w:type="dxa" w:w="2412"/>
            <w:shd w:val="clear" w:fill="003262"/>
          </w:tcPr>
          <w:p>
            <w:r>
              <w:rPr>
                <w:b/>
                <w:color w:val="FFFFFF"/>
                <w:sz w:val="19"/>
              </w:rPr>
              <w:t>Source</w:t>
            </w:r>
          </w:p>
        </w:tc>
        <w:tc>
          <w:tcPr>
            <w:tcW w:type="dxa" w:w="2412"/>
            <w:shd w:val="clear" w:fill="003262"/>
          </w:tcPr>
          <w:p>
            <w:r>
              <w:rPr>
                <w:b/>
                <w:color w:val="FFFFFF"/>
                <w:sz w:val="19"/>
              </w:rPr>
              <w:t>Notes</w:t>
            </w:r>
          </w:p>
        </w:tc>
      </w:tr>
      <w:tr>
        <w:tc>
          <w:tcPr>
            <w:tcW w:type="dxa" w:w="2412"/>
          </w:tcPr>
          <w:p>
            <w:r>
              <w:rPr>
                <w:sz w:val="19"/>
              </w:rPr>
              <w:t>Phone or laptop</w:t>
            </w:r>
          </w:p>
        </w:tc>
        <w:tc>
          <w:tcPr>
            <w:tcW w:type="dxa" w:w="2412"/>
          </w:tcPr>
          <w:p>
            <w:r>
              <w:rPr>
                <w:sz w:val="19"/>
              </w:rPr>
              <w:t>The app, signed in</w:t>
            </w:r>
          </w:p>
        </w:tc>
        <w:tc>
          <w:tcPr>
            <w:tcW w:type="dxa" w:w="2412"/>
          </w:tcPr>
          <w:p>
            <w:r>
              <w:rPr>
                <w:sz w:val="19"/>
              </w:rPr>
              <w:t>feb-composites.web.app</w:t>
            </w:r>
          </w:p>
        </w:tc>
        <w:tc>
          <w:tcPr>
            <w:tcW w:type="dxa" w:w="2412"/>
          </w:tcPr>
          <w:p/>
        </w:tc>
      </w:tr>
      <w:tr>
        <w:tc>
          <w:tcPr>
            <w:tcW w:type="dxa" w:w="2412"/>
          </w:tcPr>
          <w:p>
            <w:r>
              <w:rPr>
                <w:sz w:val="19"/>
              </w:rPr>
              <w:t>Camera</w:t>
            </w:r>
          </w:p>
        </w:tc>
        <w:tc>
          <w:tcPr>
            <w:tcW w:type="dxa" w:w="2412"/>
          </w:tcPr>
          <w:p>
            <w:r>
              <w:rPr>
                <w:sz w:val="19"/>
              </w:rPr>
              <w:t>For EH&amp;S tags, FEB labels and ✨ photos</w:t>
            </w:r>
          </w:p>
        </w:tc>
        <w:tc>
          <w:tcPr>
            <w:tcW w:type="dxa" w:w="2412"/>
          </w:tcPr>
          <w:p>
            <w:r>
              <w:rPr>
                <w:sz w:val="19"/>
              </w:rPr>
              <w:t>Phone</w:t>
            </w:r>
          </w:p>
        </w:tc>
        <w:tc>
          <w:tcPr>
            <w:tcW w:type="dxa" w:w="2412"/>
          </w:tcPr>
          <w:p>
            <w:r>
              <w:rPr>
                <w:sz w:val="19"/>
              </w:rPr>
              <w:t>Typing the code works when the camera does not (§7.6)</w:t>
            </w:r>
          </w:p>
        </w:tc>
      </w:tr>
      <w:tr>
        <w:tc>
          <w:tcPr>
            <w:tcW w:type="dxa" w:w="2412"/>
          </w:tcPr>
          <w:p>
            <w:r>
              <w:rPr>
                <w:sz w:val="19"/>
              </w:rPr>
              <w:t>FEB labels</w:t>
            </w:r>
          </w:p>
        </w:tc>
        <w:tc>
          <w:tcPr>
            <w:tcW w:type="dxa" w:w="2412"/>
          </w:tcPr>
          <w:p>
            <w:r>
              <w:rPr>
                <w:sz w:val="19"/>
              </w:rPr>
              <w:t>5522 polyester for any container that will see resin or solvent and has no EH&amp;S tag</w:t>
            </w:r>
          </w:p>
        </w:tc>
        <w:tc>
          <w:tcPr>
            <w:tcW w:type="dxa" w:w="2412"/>
          </w:tcPr>
          <w:p>
            <w:r>
              <w:rPr>
                <w:sz w:val="19"/>
              </w:rPr>
              <w:t>CS-001 §5, §7.2</w:t>
            </w:r>
          </w:p>
        </w:tc>
        <w:tc>
          <w:tcPr>
            <w:tcW w:type="dxa" w:w="2412"/>
          </w:tcPr>
          <w:p>
            <w:r>
              <w:rPr>
                <w:sz w:val="19"/>
              </w:rPr>
              <w:t>Tagged chemical containers get no FEB label (CS-001 §7.2)</w:t>
            </w:r>
          </w:p>
        </w:tc>
      </w:tr>
      <w:tr>
        <w:tc>
          <w:tcPr>
            <w:tcW w:type="dxa" w:w="2412"/>
          </w:tcPr>
          <w:p>
            <w:r>
              <w:rPr>
                <w:sz w:val="19"/>
              </w:rPr>
              <w:t>The purchase</w:t>
            </w:r>
          </w:p>
        </w:tc>
        <w:tc>
          <w:tcPr>
            <w:tcW w:type="dxa" w:w="2412"/>
          </w:tcPr>
          <w:p>
            <w:r>
              <w:rPr>
                <w:rFonts w:ascii="Courier New" w:hAnsi="Courier New"/>
                <w:sz w:val="19"/>
              </w:rPr>
              <w:t>BUY-SN6-###</w:t>
            </w:r>
            <w:r>
              <w:rPr>
                <w:sz w:val="19"/>
              </w:rPr>
              <w:t xml:space="preserve"> with line items, if the delivery was bought</w:t>
            </w:r>
          </w:p>
        </w:tc>
        <w:tc>
          <w:tcPr>
            <w:tcW w:type="dxa" w:w="2412"/>
          </w:tcPr>
          <w:p>
            <w:r>
              <w:rPr>
                <w:sz w:val="19"/>
              </w:rPr>
              <w:t>Budget tab (CS-012 §7.9)</w:t>
            </w:r>
          </w:p>
        </w:tc>
        <w:tc>
          <w:tcPr>
            <w:tcW w:type="dxa" w:w="2412"/>
          </w:tcPr>
          <w:p>
            <w:r>
              <w:rPr>
                <w:sz w:val="19"/>
              </w:rPr>
              <w:t>Donations have none (§7.11)</w:t>
            </w:r>
          </w:p>
        </w:tc>
      </w:tr>
      <w:tr>
        <w:tc>
          <w:tcPr>
            <w:tcW w:type="dxa" w:w="2412"/>
          </w:tcPr>
          <w:p>
            <w:r>
              <w:rPr>
                <w:sz w:val="19"/>
              </w:rPr>
              <w:t>SDS for each chemical</w:t>
            </w:r>
          </w:p>
        </w:tc>
        <w:tc>
          <w:tcPr>
            <w:tcW w:type="dxa" w:w="2412"/>
          </w:tcPr>
          <w:p>
            <w:r>
              <w:rPr>
                <w:rFonts w:ascii="Courier New" w:hAnsi="Courier New"/>
                <w:sz w:val="19"/>
              </w:rPr>
              <w:t>03 Datasheets/</w:t>
            </w:r>
            <w:r>
              <w:rPr>
                <w:sz w:val="19"/>
              </w:rPr>
              <w:t>, the app's Documents tab, or the SDS button on a lot's page</w:t>
            </w:r>
          </w:p>
        </w:tc>
        <w:tc>
          <w:tcPr>
            <w:tcW w:type="dxa" w:w="2412"/>
          </w:tcPr>
          <w:p>
            <w:r>
              <w:rPr>
                <w:sz w:val="19"/>
              </w:rPr>
              <w:t>R8 to R13</w:t>
            </w:r>
          </w:p>
        </w:tc>
        <w:tc>
          <w:tcPr>
            <w:tcW w:type="dxa" w:w="2412"/>
          </w:tcPr>
          <w:p>
            <w:r>
              <w:rPr>
                <w:sz w:val="19"/>
              </w:rPr>
              <w:t>Read before handling a damaged container (§6)</w:t>
            </w:r>
          </w:p>
        </w:tc>
      </w:tr>
      <w:tr>
        <w:tc>
          <w:tcPr>
            <w:tcW w:type="dxa" w:w="2412"/>
          </w:tcPr>
          <w:p>
            <w:r>
              <w:rPr>
                <w:sz w:val="19"/>
              </w:rPr>
              <w:t>Nitrile gloves</w:t>
            </w:r>
          </w:p>
        </w:tc>
        <w:tc>
          <w:tcPr>
            <w:tcW w:type="dxa" w:w="2412"/>
          </w:tcPr>
          <w:p>
            <w:r>
              <w:rPr>
                <w:sz w:val="19"/>
              </w:rPr>
              <w:t>Shop stock</w:t>
            </w:r>
          </w:p>
        </w:tc>
        <w:tc>
          <w:tcPr>
            <w:tcW w:type="dxa" w:w="2412"/>
          </w:tcPr>
          <w:p>
            <w:r>
              <w:rPr>
                <w:sz w:val="19"/>
              </w:rPr>
              <w:t>CS-011 §5</w:t>
            </w:r>
          </w:p>
        </w:tc>
        <w:tc>
          <w:tcPr>
            <w:tcW w:type="dxa" w:w="2412"/>
          </w:tcPr>
          <w:p>
            <w:r>
              <w:rPr>
                <w:sz w:val="19"/>
              </w:rPr>
              <w:t>For handling chemical containers at receipt</w:t>
            </w:r>
          </w:p>
        </w:tc>
      </w:tr>
    </w:tbl>
    <w:p/>
    <w:p>
      <w:r>
        <w:t>The ✨ reads run on limits a lead controls. They are facts about the app, not rules:</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val="clear" w:fill="003262"/>
          </w:tcPr>
          <w:p>
            <w:r>
              <w:rPr>
                <w:b/>
                <w:color w:val="FFFFFF"/>
                <w:sz w:val="19"/>
              </w:rPr>
              <w:t>Fact</w:t>
            </w:r>
          </w:p>
        </w:tc>
        <w:tc>
          <w:tcPr>
            <w:tcW w:type="dxa" w:w="3216"/>
            <w:shd w:val="clear" w:fill="003262"/>
          </w:tcPr>
          <w:p>
            <w:r>
              <w:rPr>
                <w:b/>
                <w:color w:val="FFFFFF"/>
                <w:sz w:val="19"/>
              </w:rPr>
              <w:t>Value</w:t>
            </w:r>
          </w:p>
        </w:tc>
        <w:tc>
          <w:tcPr>
            <w:tcW w:type="dxa" w:w="3216"/>
            <w:shd w:val="clear" w:fill="003262"/>
          </w:tcPr>
          <w:p>
            <w:r>
              <w:rPr>
                <w:b/>
                <w:color w:val="FFFFFF"/>
                <w:sz w:val="19"/>
              </w:rPr>
              <w:t>Source</w:t>
            </w:r>
          </w:p>
        </w:tc>
      </w:tr>
      <w:tr>
        <w:tc>
          <w:tcPr>
            <w:tcW w:type="dxa" w:w="3216"/>
          </w:tcPr>
          <w:p>
            <w:r>
              <w:rPr>
                <w:sz w:val="19"/>
              </w:rPr>
              <w:t>Lead's switch</w:t>
            </w:r>
          </w:p>
        </w:tc>
        <w:tc>
          <w:tcPr>
            <w:tcW w:type="dxa" w:w="3216"/>
          </w:tcPr>
          <w:p>
            <w:r>
              <w:rPr>
                <w:sz w:val="19"/>
              </w:rPr>
              <w:t>⋯ (More) menu, which shows on a phone or a narrow window and only to leads → "✨ AI features: on, tap to turn off". Off hides every ✨ button and the server refuses with "AI features are switched off by a lead." The manual grid always works</w:t>
            </w:r>
          </w:p>
        </w:tc>
        <w:tc>
          <w:tcPr>
            <w:tcW w:type="dxa" w:w="3216"/>
          </w:tcPr>
          <w:p>
            <w:r>
              <w:rPr>
                <w:rFonts w:ascii="Courier New" w:hAnsi="Courier New"/>
                <w:sz w:val="19"/>
              </w:rPr>
              <w:t>core.js</w:t>
            </w:r>
            <w:r>
              <w:rPr>
                <w:sz w:val="19"/>
              </w:rPr>
              <w:t xml:space="preserve"> setAiEnabled; </w:t>
            </w:r>
            <w:r>
              <w:rPr>
                <w:rFonts w:ascii="Courier New" w:hAnsi="Courier New"/>
                <w:sz w:val="19"/>
              </w:rPr>
              <w:t>functions/index.js</w:t>
            </w:r>
            <w:r>
              <w:rPr>
                <w:sz w:val="19"/>
              </w:rPr>
              <w:t xml:space="preserve"> requireAiOn</w:t>
            </w:r>
          </w:p>
        </w:tc>
      </w:tr>
      <w:tr>
        <w:tc>
          <w:tcPr>
            <w:tcW w:type="dxa" w:w="3216"/>
          </w:tcPr>
          <w:p>
            <w:r>
              <w:rPr>
                <w:sz w:val="19"/>
              </w:rPr>
              <w:t>Monthly ceiling</w:t>
            </w:r>
          </w:p>
        </w:tc>
        <w:tc>
          <w:tcPr>
            <w:tcW w:type="dxa" w:w="3216"/>
          </w:tcPr>
          <w:p>
            <w:r>
              <w:rPr>
                <w:sz w:val="19"/>
              </w:rPr>
              <w:t>$80 for the team; the same ⋯ menu line shows a lead "$X of $80 this month". Past it: "The team's AI budget for this month is used up. It's back on the 1st."</w:t>
            </w:r>
          </w:p>
        </w:tc>
        <w:tc>
          <w:tcPr>
            <w:tcW w:type="dxa" w:w="3216"/>
          </w:tcPr>
          <w:p>
            <w:r>
              <w:rPr>
                <w:rFonts w:ascii="Courier New" w:hAnsi="Courier New"/>
                <w:sz w:val="19"/>
              </w:rPr>
              <w:t>functions/index.js</w:t>
            </w:r>
            <w:r>
              <w:rPr>
                <w:sz w:val="19"/>
              </w:rPr>
              <w:t xml:space="preserve"> MONTHLY_BUDGET_USD</w:t>
            </w:r>
          </w:p>
        </w:tc>
      </w:tr>
      <w:tr>
        <w:tc>
          <w:tcPr>
            <w:tcW w:type="dxa" w:w="3216"/>
          </w:tcPr>
          <w:p>
            <w:r>
              <w:rPr>
                <w:sz w:val="19"/>
              </w:rPr>
              <w:t>Daily limit</w:t>
            </w:r>
          </w:p>
        </w:tc>
        <w:tc>
          <w:tcPr>
            <w:tcW w:type="dxa" w:w="3216"/>
          </w:tcPr>
          <w:p>
            <w:r>
              <w:rPr>
                <w:sz w:val="19"/>
              </w:rPr>
              <w:t>50 photo reads per person per day (UTC), shared by receipts, packing slips and container labels</w:t>
            </w:r>
          </w:p>
        </w:tc>
        <w:tc>
          <w:tcPr>
            <w:tcW w:type="dxa" w:w="3216"/>
          </w:tcPr>
          <w:p>
            <w:r>
              <w:rPr>
                <w:rFonts w:ascii="Courier New" w:hAnsi="Courier New"/>
                <w:sz w:val="19"/>
              </w:rPr>
              <w:t>functions/index.js</w:t>
            </w:r>
            <w:r>
              <w:rPr>
                <w:sz w:val="19"/>
              </w:rPr>
              <w:t xml:space="preserve"> DAILY_CAPS</w:t>
            </w:r>
          </w:p>
        </w:tc>
      </w:tr>
      <w:tr>
        <w:tc>
          <w:tcPr>
            <w:tcW w:type="dxa" w:w="3216"/>
          </w:tcPr>
          <w:p>
            <w:r>
              <w:rPr>
                <w:sz w:val="19"/>
              </w:rPr>
              <w:t>Model</w:t>
            </w:r>
          </w:p>
        </w:tc>
        <w:tc>
          <w:tcPr>
            <w:tcW w:type="dxa" w:w="3216"/>
          </w:tcPr>
          <w:p>
            <w:r>
              <w:rPr>
                <w:sz w:val="19"/>
              </w:rPr>
              <w:t>Claude Haiku 5.5</w:t>
            </w:r>
          </w:p>
        </w:tc>
        <w:tc>
          <w:tcPr>
            <w:tcW w:type="dxa" w:w="3216"/>
          </w:tcPr>
          <w:p>
            <w:r>
              <w:rPr>
                <w:rFonts w:ascii="Courier New" w:hAnsi="Courier New"/>
                <w:sz w:val="19"/>
              </w:rPr>
              <w:t>functions/index.js</w:t>
            </w:r>
            <w:r>
              <w:rPr>
                <w:sz w:val="19"/>
              </w:rPr>
              <w:t xml:space="preserve"> MODEL</w:t>
            </w:r>
          </w:p>
        </w:tc>
      </w:tr>
      <w:tr>
        <w:tc>
          <w:tcPr>
            <w:tcW w:type="dxa" w:w="3216"/>
          </w:tcPr>
          <w:p>
            <w:r>
              <w:rPr>
                <w:sz w:val="19"/>
              </w:rPr>
              <w:t>Photos</w:t>
            </w:r>
          </w:p>
        </w:tc>
        <w:tc>
          <w:tcPr>
            <w:tcW w:type="dxa" w:w="3216"/>
          </w:tcPr>
          <w:p>
            <w:r>
              <w:rPr>
                <w:sz w:val="19"/>
              </w:rPr>
              <w:t>Deleted as soon as they are read; no record points at them</w:t>
            </w:r>
          </w:p>
        </w:tc>
        <w:tc>
          <w:tcPr>
            <w:tcW w:type="dxa" w:w="3216"/>
          </w:tcPr>
          <w:p>
            <w:r>
              <w:rPr>
                <w:rFonts w:ascii="Courier New" w:hAnsi="Courier New"/>
                <w:sz w:val="19"/>
              </w:rPr>
              <w:t>receiving.js</w:t>
            </w:r>
            <w:r>
              <w:rPr>
                <w:sz w:val="19"/>
              </w:rPr>
              <w:t xml:space="preserve"> rxFromSlip; </w:t>
            </w:r>
            <w:r>
              <w:rPr>
                <w:rFonts w:ascii="Courier New" w:hAnsi="Courier New"/>
                <w:sz w:val="19"/>
              </w:rPr>
              <w:t>shop.js</w:t>
            </w:r>
            <w:r>
              <w:rPr>
                <w:sz w:val="19"/>
              </w:rPr>
              <w:t xml:space="preserve"> lotReadLabel</w:t>
            </w:r>
          </w:p>
        </w:tc>
      </w:tr>
    </w:tbl>
    <w:p/>
    <w:p>
      <w:pPr>
        <w:pStyle w:val="Heading2"/>
      </w:pPr>
      <w:r>
        <w:t>6. Safety</w:t>
      </w:r>
    </w:p>
    <w:p>
      <w:r>
        <w:t>Chemical containers arrive sealed, so the hazard at receipt is a damaged or leaking one, and a container filed in the wrong place.</w:t>
      </w:r>
    </w:p>
    <w:p>
      <w:pPr>
        <w:pStyle w:val="ListNumber"/>
      </w:pPr>
      <w:r>
        <w:t>Wear nitrile gloves when you unpack and shelve chemical containers.</w:t>
      </w:r>
    </w:p>
    <w:p>
      <w:pPr>
        <w:pStyle w:val="ListNumber"/>
      </w:pPr>
      <w:r>
        <w:t>Before you touch a damaged or leaking container, read its SDS (§5). Do not receive a leaking container onto a shelf: leave it in its packaging, set it apart from other chemicals, and tell a lead. The lead decides what happens to it.</w:t>
      </w:r>
    </w:p>
    <w:p>
      <w:pPr>
        <w:pStyle w:val="ListNumber"/>
      </w:pPr>
      <w:r>
        <w:t>Put chemicals straight onto a location CS-011 §6 allows for them. Never a fridge (the food-fridge incident, #composites 2026-02-17, PP-10).</w:t>
      </w:r>
    </w:p>
    <w:p>
      <w:pPr>
        <w:pStyle w:val="ListNumber"/>
      </w:pPr>
      <w:r>
        <w:t>The receiver shall set Hazard on every resin, hardener and chemical consumable lot the day it is received: open the lot's page, press Edit, set Hazard. Receiving does not set it yet. Read it off the SDS §2: "flammable" when the SDS lists a flammable gas, aerosol or liquid (GHS H220 to H226, or an older OSHA Class I flammable liquid), otherwise "not flammable". The EH&amp;S import applies the H-code half of this test (</w:t>
      </w:r>
      <w:r>
        <w:rPr>
          <w:rFonts w:ascii="Courier New" w:hAnsi="Courier New"/>
        </w:rPr>
        <w:t>ehsimport.js</w:t>
      </w:r>
      <w:r>
        <w:t xml:space="preserve"> ehsHazard); the OSHA Class I clause covers older US-format sheets such as Airtac's.</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412"/>
            <w:shd w:val="clear" w:fill="003262"/>
          </w:tcPr>
          <w:p>
            <w:r>
              <w:rPr>
                <w:b/>
                <w:color w:val="FFFFFF"/>
                <w:sz w:val="19"/>
              </w:rPr>
              <w:t>Material</w:t>
            </w:r>
          </w:p>
        </w:tc>
        <w:tc>
          <w:tcPr>
            <w:tcW w:type="dxa" w:w="2412"/>
            <w:shd w:val="clear" w:fill="003262"/>
          </w:tcPr>
          <w:p>
            <w:r>
              <w:rPr>
                <w:b/>
                <w:color w:val="FFFFFF"/>
                <w:sz w:val="19"/>
              </w:rPr>
              <w:t xml:space="preserve">SDS (in </w:t>
            </w:r>
            <w:r>
              <w:rPr>
                <w:rFonts w:ascii="Courier New" w:hAnsi="Courier New"/>
                <w:b/>
                <w:color w:val="FFFFFF"/>
                <w:sz w:val="19"/>
              </w:rPr>
              <w:t>03 Datasheets/</w:t>
            </w:r>
            <w:r>
              <w:rPr>
                <w:b/>
                <w:color w:val="FFFFFF"/>
                <w:sz w:val="19"/>
              </w:rPr>
              <w:t>)</w:t>
            </w:r>
          </w:p>
        </w:tc>
        <w:tc>
          <w:tcPr>
            <w:tcW w:type="dxa" w:w="2412"/>
            <w:shd w:val="clear" w:fill="003262"/>
          </w:tcPr>
          <w:p>
            <w:r>
              <w:rPr>
                <w:b/>
                <w:color w:val="FFFFFF"/>
                <w:sz w:val="19"/>
              </w:rPr>
              <w:t>What the SDS says</w:t>
            </w:r>
          </w:p>
        </w:tc>
        <w:tc>
          <w:tcPr>
            <w:tcW w:type="dxa" w:w="2412"/>
            <w:shd w:val="clear" w:fill="003262"/>
          </w:tcPr>
          <w:p>
            <w:r>
              <w:rPr>
                <w:b/>
                <w:color w:val="FFFFFF"/>
                <w:sz w:val="19"/>
              </w:rPr>
              <w:t>Hazard</w:t>
            </w:r>
          </w:p>
        </w:tc>
      </w:tr>
      <w:tr>
        <w:tc>
          <w:tcPr>
            <w:tcW w:type="dxa" w:w="2412"/>
          </w:tcPr>
          <w:p>
            <w:r>
              <w:rPr>
                <w:sz w:val="19"/>
              </w:rPr>
              <w:t>IN2 resin</w:t>
            </w:r>
          </w:p>
        </w:tc>
        <w:tc>
          <w:tcPr>
            <w:tcW w:type="dxa" w:w="2412"/>
          </w:tcPr>
          <w:p>
            <w:r>
              <w:rPr>
                <w:rFonts w:ascii="Courier New" w:hAnsi="Courier New"/>
                <w:sz w:val="19"/>
              </w:rPr>
              <w:t>EC-SDS-IN2-Epoxy-Infusion-Resin-and-Hardener.pdf</w:t>
            </w:r>
          </w:p>
        </w:tc>
        <w:tc>
          <w:tcPr>
            <w:tcW w:type="dxa" w:w="2412"/>
          </w:tcPr>
          <w:p>
            <w:r>
              <w:rPr>
                <w:sz w:val="19"/>
              </w:rPr>
              <w:t>Flash point 140 °C; no flammable class</w:t>
            </w:r>
          </w:p>
        </w:tc>
        <w:tc>
          <w:tcPr>
            <w:tcW w:type="dxa" w:w="2412"/>
          </w:tcPr>
          <w:p>
            <w:r>
              <w:rPr>
                <w:sz w:val="19"/>
              </w:rPr>
              <w:t>not flammable</w:t>
            </w:r>
          </w:p>
        </w:tc>
      </w:tr>
      <w:tr>
        <w:tc>
          <w:tcPr>
            <w:tcW w:type="dxa" w:w="2412"/>
          </w:tcPr>
          <w:p>
            <w:r>
              <w:rPr>
                <w:sz w:val="19"/>
              </w:rPr>
              <w:t>AT30 SLOW hardener</w:t>
            </w:r>
          </w:p>
        </w:tc>
        <w:tc>
          <w:tcPr>
            <w:tcW w:type="dxa" w:w="2412"/>
          </w:tcPr>
          <w:p>
            <w:r>
              <w:rPr>
                <w:sz w:val="19"/>
              </w:rPr>
              <w:t>same file, AT30 Slow section</w:t>
            </w:r>
          </w:p>
        </w:tc>
        <w:tc>
          <w:tcPr>
            <w:tcW w:type="dxa" w:w="2412"/>
          </w:tcPr>
          <w:p>
            <w:r>
              <w:rPr>
                <w:sz w:val="19"/>
              </w:rPr>
              <w:t>Flash point 150 °C; no flammable class</w:t>
            </w:r>
          </w:p>
        </w:tc>
        <w:tc>
          <w:tcPr>
            <w:tcW w:type="dxa" w:w="2412"/>
          </w:tcPr>
          <w:p>
            <w:r>
              <w:rPr>
                <w:sz w:val="19"/>
              </w:rPr>
              <w:t>not flammable</w:t>
            </w:r>
          </w:p>
        </w:tc>
      </w:tr>
      <w:tr>
        <w:tc>
          <w:tcPr>
            <w:tcW w:type="dxa" w:w="2412"/>
          </w:tcPr>
          <w:p>
            <w:r>
              <w:rPr>
                <w:sz w:val="19"/>
              </w:rPr>
              <w:t>AT30 FAST hardener</w:t>
            </w:r>
          </w:p>
        </w:tc>
        <w:tc>
          <w:tcPr>
            <w:tcW w:type="dxa" w:w="2412"/>
          </w:tcPr>
          <w:p>
            <w:r>
              <w:rPr>
                <w:sz w:val="19"/>
              </w:rPr>
              <w:t>same file, AT30 FAST section</w:t>
            </w:r>
          </w:p>
        </w:tc>
        <w:tc>
          <w:tcPr>
            <w:tcW w:type="dxa" w:w="2412"/>
          </w:tcPr>
          <w:p>
            <w:r>
              <w:rPr>
                <w:sz w:val="19"/>
              </w:rPr>
              <w:t>Flash point 100 °C; no flammable class</w:t>
            </w:r>
          </w:p>
        </w:tc>
        <w:tc>
          <w:tcPr>
            <w:tcW w:type="dxa" w:w="2412"/>
          </w:tcPr>
          <w:p>
            <w:r>
              <w:rPr>
                <w:sz w:val="19"/>
              </w:rPr>
              <w:t>not flammable</w:t>
            </w:r>
          </w:p>
        </w:tc>
      </w:tr>
      <w:tr>
        <w:tc>
          <w:tcPr>
            <w:tcW w:type="dxa" w:w="2412"/>
          </w:tcPr>
          <w:p>
            <w:r>
              <w:rPr>
                <w:sz w:val="19"/>
              </w:rPr>
              <w:t>XCR resin and hardener</w:t>
            </w:r>
          </w:p>
        </w:tc>
        <w:tc>
          <w:tcPr>
            <w:tcW w:type="dxa" w:w="2412"/>
          </w:tcPr>
          <w:p>
            <w:r>
              <w:rPr>
                <w:rFonts w:ascii="Courier New" w:hAnsi="Courier New"/>
                <w:sz w:val="19"/>
              </w:rPr>
              <w:t>EC-SDS-XCR-Epoxy-Coating-Resin-Combined.pdf</w:t>
            </w:r>
          </w:p>
        </w:tc>
        <w:tc>
          <w:tcPr>
            <w:tcW w:type="dxa" w:w="2412"/>
          </w:tcPr>
          <w:p>
            <w:r>
              <w:rPr>
                <w:sz w:val="19"/>
              </w:rPr>
              <w:t>Flash point above 100 °C; no flammable class</w:t>
            </w:r>
          </w:p>
        </w:tc>
        <w:tc>
          <w:tcPr>
            <w:tcW w:type="dxa" w:w="2412"/>
          </w:tcPr>
          <w:p>
            <w:r>
              <w:rPr>
                <w:sz w:val="19"/>
              </w:rPr>
              <w:t>not flammable</w:t>
            </w:r>
          </w:p>
        </w:tc>
      </w:tr>
      <w:tr>
        <w:tc>
          <w:tcPr>
            <w:tcW w:type="dxa" w:w="2412"/>
          </w:tcPr>
          <w:p>
            <w:r>
              <w:rPr>
                <w:sz w:val="19"/>
              </w:rPr>
              <w:t>West 105 resin</w:t>
            </w:r>
          </w:p>
        </w:tc>
        <w:tc>
          <w:tcPr>
            <w:tcW w:type="dxa" w:w="2412"/>
          </w:tcPr>
          <w:p>
            <w:r>
              <w:rPr>
                <w:rFonts w:ascii="Courier New" w:hAnsi="Courier New"/>
                <w:sz w:val="19"/>
              </w:rPr>
              <w:t>WEST-SDS-105-Epoxy-Resin.pdf</w:t>
            </w:r>
          </w:p>
        </w:tc>
        <w:tc>
          <w:tcPr>
            <w:tcW w:type="dxa" w:w="2412"/>
          </w:tcPr>
          <w:p>
            <w:r>
              <w:rPr>
                <w:sz w:val="19"/>
              </w:rPr>
              <w:t>Flash point above 205 °F (96 °C), estimated; no flammable class</w:t>
            </w:r>
          </w:p>
        </w:tc>
        <w:tc>
          <w:tcPr>
            <w:tcW w:type="dxa" w:w="2412"/>
          </w:tcPr>
          <w:p>
            <w:r>
              <w:rPr>
                <w:sz w:val="19"/>
              </w:rPr>
              <w:t>not flammable</w:t>
            </w:r>
          </w:p>
        </w:tc>
      </w:tr>
      <w:tr>
        <w:tc>
          <w:tcPr>
            <w:tcW w:type="dxa" w:w="2412"/>
          </w:tcPr>
          <w:p>
            <w:r>
              <w:rPr>
                <w:sz w:val="19"/>
              </w:rPr>
              <w:t>West 205, 206, 209 hardeners</w:t>
            </w:r>
          </w:p>
        </w:tc>
        <w:tc>
          <w:tcPr>
            <w:tcW w:type="dxa" w:w="2412"/>
          </w:tcPr>
          <w:p>
            <w:r>
              <w:rPr>
                <w:rFonts w:ascii="Courier New" w:hAnsi="Courier New"/>
                <w:sz w:val="19"/>
              </w:rPr>
              <w:t>WEST-SDS-205-Fast-Hardener.pdf</w:t>
            </w:r>
            <w:r>
              <w:rPr>
                <w:sz w:val="19"/>
              </w:rPr>
              <w:t xml:space="preserve">, </w:t>
            </w:r>
            <w:r>
              <w:rPr>
                <w:rFonts w:ascii="Courier New" w:hAnsi="Courier New"/>
                <w:sz w:val="19"/>
              </w:rPr>
              <w:t>WEST-SDS-206-Slow-Hardener.pdf</w:t>
            </w:r>
            <w:r>
              <w:rPr>
                <w:sz w:val="19"/>
              </w:rPr>
              <w:t xml:space="preserve">, </w:t>
            </w:r>
            <w:r>
              <w:rPr>
                <w:rFonts w:ascii="Courier New" w:hAnsi="Courier New"/>
                <w:sz w:val="19"/>
              </w:rPr>
              <w:t>WEST-SDS-209-Extra-Slow-Hardener.pdf</w:t>
            </w:r>
          </w:p>
        </w:tc>
        <w:tc>
          <w:tcPr>
            <w:tcW w:type="dxa" w:w="2412"/>
          </w:tcPr>
          <w:p>
            <w:r>
              <w:rPr>
                <w:sz w:val="19"/>
              </w:rPr>
              <w:t>Flash point above 200 °F (93 °C), estimated; no flammable class</w:t>
            </w:r>
          </w:p>
        </w:tc>
        <w:tc>
          <w:tcPr>
            <w:tcW w:type="dxa" w:w="2412"/>
          </w:tcPr>
          <w:p>
            <w:r>
              <w:rPr>
                <w:sz w:val="19"/>
              </w:rPr>
              <w:t>not flammable</w:t>
            </w:r>
          </w:p>
        </w:tc>
      </w:tr>
      <w:tr>
        <w:tc>
          <w:tcPr>
            <w:tcW w:type="dxa" w:w="2412"/>
          </w:tcPr>
          <w:p>
            <w:r>
              <w:rPr>
                <w:sz w:val="19"/>
              </w:rPr>
              <w:t>Airtac 2 spray</w:t>
            </w:r>
          </w:p>
        </w:tc>
        <w:tc>
          <w:tcPr>
            <w:tcW w:type="dxa" w:w="2412"/>
          </w:tcPr>
          <w:p>
            <w:r>
              <w:rPr>
                <w:rFonts w:ascii="Courier New" w:hAnsi="Courier New"/>
                <w:sz w:val="19"/>
              </w:rPr>
              <w:t>airtac2spray.pdf</w:t>
            </w:r>
          </w:p>
        </w:tc>
        <w:tc>
          <w:tcPr>
            <w:tcW w:type="dxa" w:w="2412"/>
          </w:tcPr>
          <w:p>
            <w:r>
              <w:rPr>
                <w:sz w:val="19"/>
              </w:rPr>
              <w:t>Class IA flammable liquid, flash point −42 °F; flammable aerosol</w:t>
            </w:r>
          </w:p>
        </w:tc>
        <w:tc>
          <w:tcPr>
            <w:tcW w:type="dxa" w:w="2412"/>
          </w:tcPr>
          <w:p>
            <w:r>
              <w:rPr>
                <w:sz w:val="19"/>
              </w:rPr>
              <w:t>flammable</w:t>
            </w:r>
          </w:p>
        </w:tc>
      </w:tr>
      <w:tr>
        <w:tc>
          <w:tcPr>
            <w:tcW w:type="dxa" w:w="2412"/>
          </w:tcPr>
          <w:p>
            <w:r>
              <w:rPr>
                <w:sz w:val="19"/>
              </w:rPr>
              <w:t>LiME LiNE UC4:1 Part A</w:t>
            </w:r>
          </w:p>
        </w:tc>
        <w:tc>
          <w:tcPr>
            <w:tcW w:type="dxa" w:w="2412"/>
          </w:tcPr>
          <w:p>
            <w:r>
              <w:rPr>
                <w:rFonts w:ascii="Courier New" w:hAnsi="Courier New"/>
                <w:sz w:val="19"/>
              </w:rPr>
              <w:t>LIMELINE-SDS-UC4-1-Clearcoat-Part-A.pdf</w:t>
            </w:r>
          </w:p>
        </w:tc>
        <w:tc>
          <w:tcPr>
            <w:tcW w:type="dxa" w:w="2412"/>
          </w:tcPr>
          <w:p>
            <w:r>
              <w:rPr>
                <w:sz w:val="19"/>
              </w:rPr>
              <w:t>Flam. Liq. 2, H225; flash point below −18 °C</w:t>
            </w:r>
          </w:p>
        </w:tc>
        <w:tc>
          <w:tcPr>
            <w:tcW w:type="dxa" w:w="2412"/>
          </w:tcPr>
          <w:p>
            <w:r>
              <w:rPr>
                <w:sz w:val="19"/>
              </w:rPr>
              <w:t>flammable</w:t>
            </w:r>
          </w:p>
        </w:tc>
      </w:tr>
      <w:tr>
        <w:tc>
          <w:tcPr>
            <w:tcW w:type="dxa" w:w="2412"/>
          </w:tcPr>
          <w:p>
            <w:r>
              <w:rPr>
                <w:sz w:val="19"/>
              </w:rPr>
              <w:t>Acetone</w:t>
            </w:r>
          </w:p>
        </w:tc>
        <w:tc>
          <w:tcPr>
            <w:tcW w:type="dxa" w:w="2412"/>
          </w:tcPr>
          <w:p>
            <w:r>
              <w:rPr>
                <w:rFonts w:ascii="Courier New" w:hAnsi="Courier New"/>
                <w:sz w:val="19"/>
              </w:rPr>
              <w:t>SDS-Acetone-Fisher-A18.pdf</w:t>
            </w:r>
            <w:r>
              <w:rPr>
                <w:sz w:val="19"/>
              </w:rPr>
              <w:t xml:space="preserve"> (stand-in)</w:t>
            </w:r>
          </w:p>
        </w:tc>
        <w:tc>
          <w:tcPr>
            <w:tcW w:type="dxa" w:w="2412"/>
          </w:tcPr>
          <w:p>
            <w:r>
              <w:rPr>
                <w:sz w:val="19"/>
              </w:rPr>
              <w:t>Flammable liquid, Category 2</w:t>
            </w:r>
          </w:p>
        </w:tc>
        <w:tc>
          <w:tcPr>
            <w:tcW w:type="dxa" w:w="2412"/>
          </w:tcPr>
          <w:p>
            <w:r>
              <w:rPr>
                <w:sz w:val="19"/>
              </w:rPr>
              <w:t>flammable</w:t>
            </w:r>
          </w:p>
        </w:tc>
      </w:tr>
      <w:tr>
        <w:tc>
          <w:tcPr>
            <w:tcW w:type="dxa" w:w="2412"/>
          </w:tcPr>
          <w:p>
            <w:r>
              <w:rPr>
                <w:sz w:val="19"/>
              </w:rPr>
              <w:t>91% IPA</w:t>
            </w:r>
          </w:p>
        </w:tc>
        <w:tc>
          <w:tcPr>
            <w:tcW w:type="dxa" w:w="2412"/>
          </w:tcPr>
          <w:p>
            <w:r>
              <w:rPr>
                <w:rFonts w:ascii="Courier New" w:hAnsi="Courier New"/>
                <w:sz w:val="19"/>
              </w:rPr>
              <w:t>SDS-Isopropyl-Alcohol-91-Alliance.pdf</w:t>
            </w:r>
            <w:r>
              <w:rPr>
                <w:sz w:val="19"/>
              </w:rPr>
              <w:t xml:space="preserve"> (stand-in)</w:t>
            </w:r>
          </w:p>
        </w:tc>
        <w:tc>
          <w:tcPr>
            <w:tcW w:type="dxa" w:w="2412"/>
          </w:tcPr>
          <w:p>
            <w:r>
              <w:rPr>
                <w:sz w:val="19"/>
              </w:rPr>
              <w:t>H225, highly flammable liquid</w:t>
            </w:r>
          </w:p>
        </w:tc>
        <w:tc>
          <w:tcPr>
            <w:tcW w:type="dxa" w:w="2412"/>
          </w:tcPr>
          <w:p>
            <w:r>
              <w:rPr>
                <w:sz w:val="19"/>
              </w:rPr>
              <w:t>flammable</w:t>
            </w:r>
          </w:p>
        </w:tc>
      </w:tr>
    </w:tbl>
    <w:p/>
    <w:p>
      <w:r>
        <w:t>Hazard records what the SDS says. Which cabinet each material lives in is CS-011 §6's call, not this table's.</w:t>
      </w:r>
    </w:p>
    <w:p>
      <w:r>
        <w:t>The desk's confirm warns "N flammable items would land on [shelf], which is not a rated location" only for a Material type whose restock rule a lead has marked flammable. None of the shipped rules is (the epoxies are marked not flammable, and acetone, IPA, Airtac and clear coat have no restock row), so today the desk does not warn. It does not read the lot's Hazard, so set Hazard from the SDS as above. The shelf card on the storage map does warn from the lot's Hazard (</w:t>
      </w:r>
      <w:r>
        <w:rPr>
          <w:rFonts w:ascii="Courier New" w:hAnsi="Courier New"/>
        </w:rPr>
        <w:t>inventory.js</w:t>
      </w:r>
      <w:r>
        <w:t xml:space="preserve"> invLocWarnings).</w:t>
      </w:r>
    </w:p>
    <w:p>
      <w:pPr>
        <w:pStyle w:val="ListNumber"/>
      </w:pPr>
      <w:r>
        <w:t>Expired and emptied chemical containers leave through campus EH&amp;S. [lead input needed: the RFS disposal route.] An emptied container stays in the app as Empty until it is retired in RSS (§7.10).</w:t>
      </w:r>
    </w:p>
    <w:p>
      <w:pPr>
        <w:pStyle w:val="Heading2"/>
      </w:pPr>
      <w:r>
        <w:t>7. Procedure</w:t>
      </w:r>
    </w:p>
    <w:p>
      <w:pPr>
        <w:jc w:val="center"/>
      </w:pPr>
      <w:r>
        <w:drawing>
          <wp:inline xmlns:a="http://schemas.openxmlformats.org/drawingml/2006/main" xmlns:pic="http://schemas.openxmlformats.org/drawingml/2006/picture">
            <wp:extent cx="5669280" cy="7744236"/>
            <wp:docPr id="1" name="Picture 1"/>
            <wp:cNvGraphicFramePr>
              <a:graphicFrameLocks noChangeAspect="1"/>
            </wp:cNvGraphicFramePr>
            <a:graphic>
              <a:graphicData uri="http://schemas.openxmlformats.org/drawingml/2006/picture">
                <pic:pic>
                  <pic:nvPicPr>
                    <pic:cNvPr id="0" name="cs014-receiving-flow.v2.png"/>
                    <pic:cNvPicPr/>
                  </pic:nvPicPr>
                  <pic:blipFill>
                    <a:blip r:embed="rId9"/>
                    <a:stretch>
                      <a:fillRect/>
                    </a:stretch>
                  </pic:blipFill>
                  <pic:spPr>
                    <a:xfrm>
                      <a:off x="0" y="0"/>
                      <a:ext cx="5669280" cy="7744236"/>
                    </a:xfrm>
                    <a:prstGeom prst="rect"/>
                  </pic:spPr>
                </pic:pic>
              </a:graphicData>
            </a:graphic>
          </wp:inline>
        </w:drawing>
      </w:r>
    </w:p>
    <w:p>
      <w:pPr>
        <w:jc w:val="center"/>
      </w:pPr>
      <w:r>
        <w:rPr>
          <w:i/>
          <w:color w:val="505050"/>
          <w:sz w:val="18"/>
        </w:rPr>
        <w:t>Figure 1. Receiving a delivery: from the box to records on a shelf, with the ✨ packing slip passing through a person's check</w:t>
      </w:r>
    </w:p>
    <w:p/>
    <w:p>
      <w:pPr>
        <w:pStyle w:val="Heading3"/>
      </w:pPr>
      <w:r>
        <w:t>7.1 Before it arrives: purchase lines and Incoming</w:t>
      </w:r>
    </w:p>
    <w:p>
      <w:r>
        <w:t xml:space="preserve">The Incoming card on the storage map lists every purchase line on the Budget tab that has not yet fully arrived ("bought, not yet on a shelf"). Each line shows its price each, the </w:t>
      </w:r>
      <w:r>
        <w:rPr>
          <w:rFonts w:ascii="Courier New" w:hAnsi="Courier New"/>
        </w:rPr>
        <w:t>BUY-SN6-###</w:t>
      </w:r>
      <w:r>
        <w:t xml:space="preserve"> chip, the vendor and "ordered Nd ago", counted from the purchase's Date ordered. A ⚠ appears after 14 days (</w:t>
      </w:r>
      <w:r>
        <w:rPr>
          <w:rFonts w:ascii="Courier New" w:hAnsi="Courier New"/>
        </w:rPr>
        <w:t>inventory.js</w:t>
      </w:r>
      <w:r>
        <w:t xml:space="preserve"> INV_STALE_ORDER_DAYS). A partly received line reads "N of M in · K to come". A line leaves the card once the records made from it account for its full quantity.</w:t>
      </w:r>
    </w:p>
    <w:p>
      <w:pPr>
        <w:pStyle w:val="ListNumber"/>
      </w:pPr>
      <w:r>
        <w:t>When you log a purchase, add one line item per thing that will go on a shelf, with the count ordered (CS-012 §7.9). A purchase with no line items never appears on Incoming.</w:t>
      </w:r>
    </w:p>
    <w:p>
      <w:pPr>
        <w:pStyle w:val="ListNumber"/>
      </w:pPr>
      <w:r>
        <w:t>Set the purchase's Date ordered to the day the order was placed.</w:t>
      </w:r>
    </w:p>
    <w:p>
      <w:pPr>
        <w:pStyle w:val="ListNumber"/>
      </w:pPr>
      <w:r>
        <w:t>When a line shows ⚠, the purchaser checks the order with the supplier and writes what they learned in the purchase's Notes.</w:t>
      </w:r>
    </w:p>
    <w:p>
      <w:pPr>
        <w:pStyle w:val="ListNumber"/>
      </w:pPr>
      <w:r>
        <w:t>If a line will never arrive (short-shipped or cancelled), tell a lead. The app has no button to close a line short yet, so it stays on Incoming until a lead deals with it.</w:t>
      </w:r>
    </w:p>
    <w:p>
      <w:pPr>
        <w:pStyle w:val="Heading3"/>
      </w:pPr>
      <w:r>
        <w:t>7.2 Opening the Receiving desk</w:t>
      </w:r>
    </w:p>
    <w:p>
      <w:r>
        <w:t>Open the desk the way that matches where you are standing:</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val="clear" w:fill="003262"/>
          </w:tcPr>
          <w:p>
            <w:r>
              <w:rPr>
                <w:b/>
                <w:color w:val="FFFFFF"/>
                <w:sz w:val="19"/>
              </w:rPr>
              <w:t>Where you are</w:t>
            </w:r>
          </w:p>
        </w:tc>
        <w:tc>
          <w:tcPr>
            <w:tcW w:type="dxa" w:w="3216"/>
            <w:shd w:val="clear" w:fill="003262"/>
          </w:tcPr>
          <w:p>
            <w:r>
              <w:rPr>
                <w:b/>
                <w:color w:val="FFFFFF"/>
                <w:sz w:val="19"/>
              </w:rPr>
              <w:t>Press</w:t>
            </w:r>
          </w:p>
        </w:tc>
        <w:tc>
          <w:tcPr>
            <w:tcW w:type="dxa" w:w="3216"/>
            <w:shd w:val="clear" w:fill="003262"/>
          </w:tcPr>
          <w:p>
            <w:r>
              <w:rPr>
                <w:b/>
                <w:color w:val="FFFFFF"/>
                <w:sz w:val="19"/>
              </w:rPr>
              <w:t>What the desk starts with</w:t>
            </w:r>
          </w:p>
        </w:tc>
      </w:tr>
      <w:tr>
        <w:tc>
          <w:tcPr>
            <w:tcW w:type="dxa" w:w="3216"/>
          </w:tcPr>
          <w:p>
            <w:r>
              <w:rPr>
                <w:sz w:val="19"/>
              </w:rPr>
              <w:t>Inventory → Storage map</w:t>
            </w:r>
          </w:p>
        </w:tc>
        <w:tc>
          <w:tcPr>
            <w:tcW w:type="dxa" w:w="3216"/>
          </w:tcPr>
          <w:p>
            <w:r>
              <w:rPr>
                <w:sz w:val="19"/>
              </w:rPr>
              <w:t>Receive a delivery (toolbar)</w:t>
            </w:r>
          </w:p>
        </w:tc>
        <w:tc>
          <w:tcPr>
            <w:tcW w:type="dxa" w:w="3216"/>
          </w:tcPr>
          <w:p>
            <w:r>
              <w:rPr>
                <w:sz w:val="19"/>
              </w:rPr>
              <w:t>The "Receiving desk" with the On order strip above an empty sheet</w:t>
            </w:r>
          </w:p>
        </w:tc>
      </w:tr>
      <w:tr>
        <w:tc>
          <w:tcPr>
            <w:tcW w:type="dxa" w:w="3216"/>
          </w:tcPr>
          <w:p>
            <w:r>
              <w:rPr>
                <w:sz w:val="19"/>
              </w:rPr>
              <w:t>A line on the Incoming card</w:t>
            </w:r>
          </w:p>
        </w:tc>
        <w:tc>
          <w:tcPr>
            <w:tcW w:type="dxa" w:w="3216"/>
          </w:tcPr>
          <w:p>
            <w:r>
              <w:rPr>
                <w:sz w:val="19"/>
              </w:rPr>
              <w:t>Arrived ▸</w:t>
            </w:r>
          </w:p>
        </w:tc>
        <w:tc>
          <w:tcPr>
            <w:tcW w:type="dxa" w:w="3216"/>
          </w:tcPr>
          <w:p>
            <w:r>
              <w:rPr>
                <w:sz w:val="19"/>
              </w:rPr>
              <w:t>Every open line of that purchase as a row, with name, quantity still to come, supplier and $ each filled in</w:t>
            </w:r>
          </w:p>
        </w:tc>
      </w:tr>
      <w:tr>
        <w:tc>
          <w:tcPr>
            <w:tcW w:type="dxa" w:w="3216"/>
          </w:tcPr>
          <w:p>
            <w:r>
              <w:rPr>
                <w:sz w:val="19"/>
              </w:rPr>
              <w:t>A shelf's page</w:t>
            </w:r>
          </w:p>
        </w:tc>
        <w:tc>
          <w:tcPr>
            <w:tcW w:type="dxa" w:w="3216"/>
          </w:tcPr>
          <w:p>
            <w:r>
              <w:rPr>
                <w:sz w:val="19"/>
              </w:rPr>
              <w:t>Receive delivery</w:t>
            </w:r>
          </w:p>
        </w:tc>
        <w:tc>
          <w:tcPr>
            <w:tcW w:type="dxa" w:w="3216"/>
          </w:tcPr>
          <w:p>
            <w:r>
              <w:rPr>
                <w:sz w:val="19"/>
              </w:rPr>
              <w:t>The sheet locked to that shelf, headed "Add to this shelf" (the phone case)</w:t>
            </w:r>
          </w:p>
        </w:tc>
      </w:tr>
      <w:tr>
        <w:tc>
          <w:tcPr>
            <w:tcW w:type="dxa" w:w="3216"/>
          </w:tcPr>
          <w:p>
            <w:r>
              <w:rPr>
                <w:sz w:val="19"/>
              </w:rPr>
              <w:t>Scan, pointed at an EH&amp;S tag no record wears</w:t>
            </w:r>
          </w:p>
        </w:tc>
        <w:tc>
          <w:tcPr>
            <w:tcW w:type="dxa" w:w="3216"/>
          </w:tcPr>
          <w:p>
            <w:r>
              <w:rPr>
                <w:sz w:val="19"/>
              </w:rPr>
              <w:t>Log it (in "No record wears EH&amp;S tag … yet. Log the container at the receiving desk?")</w:t>
            </w:r>
          </w:p>
        </w:tc>
        <w:tc>
          <w:tcPr>
            <w:tcW w:type="dxa" w:w="3216"/>
          </w:tcPr>
          <w:p>
            <w:r>
              <w:rPr>
                <w:sz w:val="19"/>
              </w:rPr>
              <w:t>A Resin row with the code already in its EH&amp;S tag cell</w:t>
            </w:r>
          </w:p>
        </w:tc>
      </w:tr>
    </w:tbl>
    <w:p/>
    <w:p>
      <w:pPr>
        <w:pStyle w:val="ListNumber"/>
      </w:pPr>
      <w:r>
        <w:t>Open the desk one of the four ways above.</w:t>
      </w:r>
    </w:p>
    <w:p>
      <w:pPr>
        <w:pStyle w:val="ListNumber"/>
      </w:pPr>
      <w:r>
        <w:t>If the desk shows "In the last hour: [name] added N. Same delivery?", ask that person before you type anything. Two people logging the same box is how a shelf ends up with two of everything.</w:t>
      </w:r>
    </w:p>
    <w:p>
      <w:pPr>
        <w:pStyle w:val="ListNumber"/>
      </w:pPr>
      <w:r>
        <w:t>On the full desk, use the strip above the sheet: On order lists purchases with open lines, with Take all N for a whole order and Take for one line; Shelves lists the storage locations by site, and picking one sets the shelf on every row that has none.</w:t>
      </w:r>
    </w:p>
    <w:p>
      <w:pPr>
        <w:pStyle w:val="ListNumber"/>
      </w:pPr>
      <w:r>
        <w:t>If you leave before finishing, the sheet is kept on this device for 24 hours (</w:t>
      </w:r>
      <w:r>
        <w:rPr>
          <w:rFonts w:ascii="Courier New" w:hAnsi="Courier New"/>
        </w:rPr>
        <w:t>receiving.js</w:t>
      </w:r>
      <w:r>
        <w:t xml:space="preserve"> RX_DRAFT_MAX_AGE_MS) and the Inventory toolbar shows "Finish N lines". After 24 hours it is discarded. It is not shared with anyone else's device.</w:t>
      </w:r>
    </w:p>
    <w:p>
      <w:pPr>
        <w:pStyle w:val="Heading3"/>
      </w:pPr>
      <w:r>
        <w:t>7.3 Filling in the sheet</w:t>
      </w:r>
    </w:p>
    <w:p>
      <w:r>
        <w:t>The sheet has three header fields (Supplier, Arrived, New lines land on) and one row per kind of thing, with the columns Class, What is it, How many, Shelf, Vendor lot, EH&amp;S tag, Expires and $ each. EH&amp;S tag and Expires apply to Resin, Hardener and Consumable rows only; a Fabric row shows a dash there.</w:t>
      </w:r>
    </w:p>
    <w:p>
      <w:pPr>
        <w:pStyle w:val="ListNumber"/>
      </w:pPr>
      <w:r>
        <w:t>Set Supplier.</w:t>
      </w:r>
    </w:p>
    <w:p>
      <w:pPr>
        <w:pStyle w:val="ListNumber"/>
      </w:pPr>
      <w:r>
        <w:t>Set Arrived to the day the delivery came in. It becomes the Received date of every record made from this sheet.</w:t>
      </w:r>
    </w:p>
    <w:p>
      <w:pPr>
        <w:pStyle w:val="ListNumber"/>
      </w:pPr>
      <w:r>
        <w:t>Set New lines land on to the shelf most of the delivery goes to.</w:t>
      </w:r>
    </w:p>
    <w:p>
      <w:pPr>
        <w:pStyle w:val="ListNumber"/>
      </w:pPr>
      <w:r>
        <w:t>Start a row and pick its Class first: Fabric, Resin, Hardener or Consumable. Class decides how many records the row makes and which fields it gets. Type the first letter; the arrow keys deliberately do not change it.</w:t>
      </w:r>
    </w:p>
    <w:p>
      <w:pPr>
        <w:pStyle w:val="ListNumber"/>
      </w:pPr>
      <w:r>
        <w:t>Put the resin and the hardener of a kit on separate rows, Resin and Hardener. The cure buy-off offers hardener lots, and lots with no Role, as the hardener; set Role on every RSN lot so a resin is never offered there.</w:t>
      </w:r>
    </w:p>
    <w:p>
      <w:pPr>
        <w:pStyle w:val="ListNumber"/>
      </w:pPr>
      <w:r>
        <w:t>Type What is it as the container names it. A name already on a shelf brings its Material type, supplier and $ each with it, and the materials table fills a blank Material type. Rows filled by Arrived ▸ or Take all do not pick up the Material type: after Create N records, press Link materials on the Materials list (§7.7 step 3).</w:t>
      </w:r>
    </w:p>
    <w:p>
      <w:pPr>
        <w:pStyle w:val="ListNumber"/>
      </w:pPr>
      <w:r>
        <w:t>Type How many. Fabric, Resin and Hardener rows make one record per roll or container ("3 records"). A Consumable row makes one record carrying the count ("1 of 50"). The desk refuses more than 50 tracked units (</w:t>
      </w:r>
      <w:r>
        <w:rPr>
          <w:rFonts w:ascii="Courier New" w:hAnsi="Courier New"/>
        </w:rPr>
        <w:t>receiving.js</w:t>
      </w:r>
      <w:r>
        <w:t>, the review check on tracked rows) on one row: split the row, or log a box of small items as one Consumable with a count.</w:t>
      </w:r>
    </w:p>
    <w:p>
      <w:pPr>
        <w:pStyle w:val="ListNumber"/>
      </w:pPr>
      <w:r>
        <w:t>Set Shelf on any row going somewhere other than the default. A row with no shelf lands in No location on the storage map; put it away the same day (CS-011 §7.3).</w:t>
      </w:r>
    </w:p>
    <w:p>
      <w:pPr>
        <w:pStyle w:val="ListNumber"/>
      </w:pPr>
      <w:r>
        <w:t>Type Vendor lot exactly as printed. Leave it blank if nothing is printed.</w:t>
      </w:r>
    </w:p>
    <w:p>
      <w:pPr>
        <w:pStyle w:val="ListNumber"/>
      </w:pPr>
      <w:r>
        <w:t>Fill EH&amp;S tag per §7.6 and Expires per §7.7.</w:t>
      </w:r>
    </w:p>
    <w:p>
      <w:pPr>
        <w:pStyle w:val="ListNumber"/>
      </w:pPr>
      <w:r>
        <w:t>Type $ each, the price of one unit, from the purchase line or the receipt. Arrived ▸ fills it from the purchase.</w:t>
      </w:r>
    </w:p>
    <w:p>
      <w:pPr>
        <w:pStyle w:val="ListNumber"/>
      </w:pPr>
      <w:r>
        <w:t>Press Enter to start the next row; it carries the class, shelf and supplier forward.</w:t>
      </w:r>
    </w:p>
    <w:p>
      <w:pPr>
        <w:pStyle w:val="ListNumber"/>
      </w:pPr>
      <w:r>
        <w:t>If you paste a block copied from an order email, each line becomes a row. Check the Class, How many and Shelf of every pasted row; the toast reminds you of class and shelf, so check How many as well.</w:t>
      </w:r>
    </w:p>
    <w:p>
      <w:pPr>
        <w:pStyle w:val="Heading3"/>
      </w:pPr>
      <w:r>
        <w:t>7.4 Reading a packing slip with ✨ From packing slip</w:t>
      </w:r>
    </w:p>
    <w:p>
      <w:r>
        <w:t>✨ From packing slip appears under the sheet when a lead has AI features on (§5). It reads a photo or a PDF of the slip and adds one row per shipped line: the name, the quantity shipped (not ordered or backordered), and the vendor lot and expiry only where the slip prints them for that line. An expiry printed as month and year is read as the last day of that month (</w:t>
      </w:r>
      <w:r>
        <w:rPr>
          <w:rFonts w:ascii="Courier New" w:hAnsi="Courier New"/>
        </w:rPr>
        <w:t>functions/index.js</w:t>
      </w:r>
      <w:r>
        <w:t xml:space="preserve"> SLIP_PROMPT). What each thing is (class, Material type, supplier, cost) comes from the app's own tables, never from the model.</w:t>
      </w:r>
    </w:p>
    <w:p>
      <w:r>
        <w:t>The rule, for this button and every other ✨ fill (✨ Read label in §7.7, ✨ Fill from receipt in CS-012 §7.2): anything a ✨ button fills is a draft. The person saving it shall check every row against the paper, the container or the receipt before saving. An AI-read expiry stays marked "vendor label (AI read)" until a person types over it. An AI read is never a source for a number in a standard (CS-000 §2).</w:t>
      </w:r>
    </w:p>
    <w:p>
      <w:pPr>
        <w:pStyle w:val="ListNumber"/>
      </w:pPr>
      <w:r>
        <w:t>Press ✨ From packing slip and photograph the slip, or pick its PDF.</w:t>
      </w:r>
    </w:p>
    <w:p>
      <w:pPr>
        <w:pStyle w:val="ListNumber"/>
      </w:pPr>
      <w:r>
        <w:t>Wait for "N lines read from the slip. Check the class, the shelf and the count on each." The status bar shows each phase while it runs. Blank rows on the sheet give way to the slip's rows.</w:t>
      </w:r>
    </w:p>
    <w:p>
      <w:pPr>
        <w:pStyle w:val="ListNumber"/>
      </w:pPr>
      <w:r>
        <w:t>Check every row against the slip and against what is physically in the box: Class, What is it, How many, Vendor lot, Expires. Fix a wrong cell by typing in it.</w:t>
      </w:r>
    </w:p>
    <w:p>
      <w:pPr>
        <w:pStyle w:val="ListNumber"/>
      </w:pPr>
      <w:r>
        <w:t>Remove any row for a thing that is not in the box with the bin icon (Remove this line).</w:t>
      </w:r>
    </w:p>
    <w:p>
      <w:pPr>
        <w:pStyle w:val="ListNumber"/>
      </w:pPr>
      <w:r>
        <w:t>Where the container itself prints an expiry, type it into Expires from the container. That clears the AI mark.</w:t>
      </w:r>
    </w:p>
    <w:p>
      <w:pPr>
        <w:pStyle w:val="ListNumber"/>
      </w:pPr>
      <w:r>
        <w:t>If the read fails or finds no lines, type the rows, or paste them from the order email.</w:t>
      </w:r>
    </w:p>
    <w:p>
      <w:pPr>
        <w:pStyle w:val="Heading3"/>
      </w:pPr>
      <w:r>
        <w:t>7.5 Confirming: "Create N records?", Print N labels or Undo</w:t>
      </w:r>
    </w:p>
    <w:p>
      <w:pPr>
        <w:pStyle w:val="ListNumber"/>
      </w:pPr>
      <w:r>
        <w:t>Press Review N records, or Ctrl+Enter. The confirm "Create N records?" lists the rows grouped by shelf.</w:t>
      </w:r>
    </w:p>
    <w:p>
      <w:pPr>
        <w:pStyle w:val="ListNumber"/>
      </w:pPr>
      <w:r>
        <w:t>Untick anything that did not actually turn up.</w:t>
      </w:r>
    </w:p>
    <w:p>
      <w:pPr>
        <w:pStyle w:val="ListNumber"/>
      </w:pPr>
      <w:r>
        <w:t>Read every warning under the list: EH&amp;S tag counts that do not fit the number of containers (§7.6 step 4), a tag on two lines or already on another record ("one tag, one container"), and flammable items landing on a location not rated for them (§6). Fix them with Back to the sheet.</w:t>
      </w:r>
    </w:p>
    <w:p>
      <w:pPr>
        <w:pStyle w:val="ListNumber"/>
      </w:pPr>
      <w:r>
        <w:t>Press Create N records. Every record starts Sealed, dated with Arrived. If the app cannot get IDs (no connection), it writes nothing and says so; try again when back online.</w:t>
      </w:r>
    </w:p>
    <w:p>
      <w:pPr>
        <w:pStyle w:val="ListNumber"/>
      </w:pPr>
      <w:r>
        <w:t>The bar "N records added" offers Print N labels and Undo. Labels are never printed automatically.</w:t>
      </w:r>
    </w:p>
    <w:p>
      <w:pPr>
        <w:pStyle w:val="ListNumber"/>
      </w:pPr>
      <w:r>
        <w:t>Label the records per CS-001 §7.1 and §7.2. A chemical container wearing an EH&amp;S tag gets no FEB label: the tag is its label (CS-001 §7.2). Print N labels prints one for every record in the batch, so when the batch holds tagged containers, print from Inventory → Labels instead.</w:t>
      </w:r>
    </w:p>
    <w:p>
      <w:pPr>
        <w:pStyle w:val="ListNumber"/>
      </w:pPr>
      <w:r>
        <w:t>In Inventory → Labels, set What to Material lots.</w:t>
      </w:r>
    </w:p>
    <w:p>
      <w:pPr>
        <w:pStyle w:val="ListNumber"/>
      </w:pPr>
      <w:r>
        <w:t>Tick only the records without a tag, and press Preview N labels.</w:t>
      </w:r>
    </w:p>
    <w:p>
      <w:pPr>
        <w:pStyle w:val="ListNumber"/>
      </w:pPr>
      <w:r>
        <w:t>If something is wrong, press Undo. It deletes the records just made and puts the rows back on the sheet. Bin any labels already printed for them.</w:t>
      </w:r>
    </w:p>
    <w:p>
      <w:pPr>
        <w:pStyle w:val="ListNumber"/>
      </w:pPr>
      <w:r>
        <w:t>For a partial delivery, receive only what came. The rest stays on Incoming as "N of M in · K to come".</w:t>
      </w:r>
    </w:p>
    <w:p>
      <w:pPr>
        <w:pStyle w:val="ListNumber"/>
      </w:pPr>
      <w:r>
        <w:t>When every line of the purchase is in, set its Order status to Arrived on the Budget tab (CS-012 §7.1 table; §7.9 step 6). Receiving does not change it.</w:t>
      </w:r>
    </w:p>
    <w:p>
      <w:pPr>
        <w:pStyle w:val="Heading3"/>
      </w:pPr>
      <w:r>
        <w:t>7.6 EH&amp;S tags at receipt</w:t>
      </w:r>
    </w:p>
    <w:p>
      <w:r>
        <w:t>Every chemical container on campus wears a UC EH&amp;S tag (§4). CS-001 §7.11 covers the tag as the container's label and recording a tag on a container already on a shelf. This section covers recording it at the desk.</w:t>
      </w:r>
    </w:p>
    <w:p>
      <w:pPr>
        <w:pStyle w:val="ListNumber"/>
      </w:pPr>
      <w:r>
        <w:t>For each Resin, Hardener or chemical Consumable row, press the camera button in the EH&amp;S tag cell and scan the tag on each container in the row. The camera stays open; each scan adds a code, and a repeat is skipped ("is already on this line").</w:t>
      </w:r>
    </w:p>
    <w:p>
      <w:pPr>
        <w:pStyle w:val="ListNumber"/>
      </w:pPr>
      <w:r>
        <w:t>If the camera fails, type all 24 characters from the face of the tag. For several containers on one row, separate the codes with spaces. Codes are given to the row's records in the order typed.</w:t>
      </w:r>
    </w:p>
    <w:p>
      <w:pPr>
        <w:pStyle w:val="ListNumber"/>
      </w:pPr>
      <w:r>
        <w:t>Do not record a new container by its 12-character edge print. The edge print finds a container already recorded (Scan, Move, CS-001 §7.11), but typed at receipt it saves a short code that will not match the RSS inventory.</w:t>
      </w:r>
    </w:p>
    <w:p>
      <w:pPr>
        <w:pStyle w:val="ListNumber"/>
      </w:pPr>
      <w:r>
        <w:t>Give one code per container: the number of codes on a row equals How many. The confirm warns when a row has more codes than containers, or two or more codes but fewer than containers. One code on a multi-container row raises no warning, so count them yourself.</w:t>
      </w:r>
    </w:p>
    <w:p>
      <w:pPr>
        <w:pStyle w:val="ListNumber"/>
      </w:pPr>
      <w:r>
        <w:t>If the confirm says a tag is already on another record, that container is already tracked and is not part of this delivery. Take it off the sheet.</w:t>
      </w:r>
    </w:p>
    <w:p>
      <w:pPr>
        <w:pStyle w:val="ListNumber"/>
      </w:pPr>
      <w:r>
        <w:t>The desk does not check a code's length. Count the characters against the tag before you press Create N records; a code that is not 24 characters saves anyway, and shows later with a ? after it on the shelf page and as "check the tag" in the EH&amp;S reconciliation export.</w:t>
      </w:r>
    </w:p>
    <w:p>
      <w:pPr>
        <w:pStyle w:val="ListNumber"/>
      </w:pPr>
      <w:r>
        <w:t>A chemical container with no tag yet: leave the cell blank and give it a 5522 FEB label (CS-001 §7.2). When campus tags it, record the tag in its EH&amp;S barcode field (CS-001 §7.11). The FEB label stays on.</w:t>
      </w:r>
    </w:p>
    <w:p>
      <w:pPr>
        <w:pStyle w:val="ListNumber"/>
      </w:pPr>
      <w:r>
        <w:t>Consumables that are not chemicals (cups, gloves, bag film) have no tag; leave the cell blank.</w:t>
      </w:r>
    </w:p>
    <w:p>
      <w:pPr>
        <w:pStyle w:val="Heading3"/>
      </w:pPr>
      <w:r>
        <w:t>7.7 Dates, expiry and ✨ Read label</w:t>
      </w:r>
    </w:p>
    <w:p>
      <w:pPr>
        <w:pStyle w:val="ListNumber"/>
      </w:pPr>
      <w:r>
        <w:t>At the desk, type Expires off the container for every resin, hardener and chemical consumable that prints one. Fabric has no expiry field.</w:t>
      </w:r>
    </w:p>
    <w:p>
      <w:pPr>
        <w:pStyle w:val="ListNumber"/>
      </w:pPr>
      <w:r>
        <w:t>If the container prints only a manufacture date and a shelf life, work out the expiry from the label (manufacture date plus shelf life) and type it into Expires.</w:t>
      </w:r>
    </w:p>
    <w:p>
      <w:pPr>
        <w:pStyle w:val="ListNumber"/>
      </w:pPr>
      <w:r>
        <w:t>On the Materials list, Link materials fills blanks from the materials table, but only on records that have no Material type (imports, old records, and rows filled by Arrived ▸ or Take all). It sets the Material type from the name, and a blank Expires from Received plus the TDS shelf life, stamped "shelf-life table". It never changes a filled field, and it lists everything before writing ("Link N records"). It does not reach a lot whose Material type the desk already filled, so that lot's Expires comes from step 1 or 2. The shelf lives in the table are datasheet figures: IN2 and AT30 12 months (</w:t>
      </w:r>
      <w:r>
        <w:rPr>
          <w:rFonts w:ascii="Courier New" w:hAnsi="Courier New"/>
        </w:rPr>
        <w:t>03 Datasheets/EC-TDS-IN2-Infusion-Resin.pdf</w:t>
      </w:r>
      <w:r>
        <w:t>), XCR 12 months (</w:t>
      </w:r>
      <w:r>
        <w:rPr>
          <w:rFonts w:ascii="Courier New" w:hAnsi="Courier New"/>
        </w:rPr>
        <w:t>03 Datasheets/EC-TDS-XCR-Epoxy-Coating-Resin.pdf</w:t>
      </w:r>
      <w:r>
        <w:t>), both when stored as the TDS says, and DP420 24 months from manufacture (</w:t>
      </w:r>
      <w:r>
        <w:rPr>
          <w:rFonts w:ascii="Courier New" w:hAnsi="Courier New"/>
        </w:rPr>
        <w:t>03 Datasheets/3m-scotch-weld-epoxy-adhesive-dp420-black.pdf</w:t>
      </w:r>
      <w:r>
        <w:t>, p.5) (</w:t>
      </w:r>
      <w:r>
        <w:rPr>
          <w:rFonts w:ascii="Courier New" w:hAnsi="Courier New"/>
        </w:rPr>
        <w:t>materials.js</w:t>
      </w:r>
      <w:r>
        <w:t>).</w:t>
      </w:r>
    </w:p>
    <w:p>
      <w:pPr>
        <w:pStyle w:val="ListNumber"/>
      </w:pPr>
      <w:r>
        <w:t>A shelf-life date counts from the day we received the container, not the day it was made, so it can run later than the manufacturer's date. Type the label's date over it whenever the label gives one.</w:t>
      </w:r>
    </w:p>
    <w:p>
      <w:pPr>
        <w:pStyle w:val="ListNumber"/>
      </w:pPr>
      <w:r>
        <w:t>To read a label with the camera, open the lot's page and press ✨ Read label (resin, hardener and consumable lots, when AI features are on). Photograph the label.</w:t>
      </w:r>
    </w:p>
    <w:p>
      <w:pPr>
        <w:pStyle w:val="ListNumber"/>
      </w:pPr>
      <w:r>
        <w:t>In the "From the label" sheet, compare each offered value (Vendor lot number, Expires, Material) with the container. Empty fields come pre-ticked; a filled field says what it "replaces". Untick anything that does not match, then press Apply. The §7.4 rule applies: check before Apply.</w:t>
      </w:r>
    </w:p>
    <w:p>
      <w:pPr>
        <w:pStyle w:val="ListNumber"/>
      </w:pPr>
      <w:r>
        <w:t>Read Expiry from on the lot when you need to know how far to trust a date (§4). Typing a date over "vendor label (AI read)" changes it to "vendor label".</w:t>
      </w:r>
    </w:p>
    <w:p>
      <w:pPr>
        <w:pStyle w:val="ListNumber"/>
      </w:pPr>
      <w:r>
        <w:t>Set Hazard per §6 step 4.</w:t>
      </w:r>
    </w:p>
    <w:p>
      <w:pPr>
        <w:pStyle w:val="Heading3"/>
      </w:pPr>
      <w:r>
        <w:t>7.8 Opening, using up and emptying a container</w:t>
      </w:r>
    </w:p>
    <w:p>
      <w:r>
        <w:t>The cure buy-off pre-fills the most recently opened lot of each class (</w:t>
      </w:r>
      <w:r>
        <w:rPr>
          <w:rFonts w:ascii="Courier New" w:hAnsi="Courier New"/>
        </w:rPr>
        <w:t>workorders.js</w:t>
      </w:r>
      <w:r>
        <w:t xml:space="preserve"> defaultLot). With two open jugs of AT30 on the bench that default is wrong for one of them. The TDS gives a second reason: hardeners deteriorate quickly once exposed to air (R14).</w:t>
      </w:r>
    </w:p>
    <w:p>
      <w:pPr>
        <w:pStyle w:val="ListNumber"/>
      </w:pPr>
      <w:r>
        <w:t>You should open one container of a material at a time: finish the open one, or set it aside, before breaking the seal on the next.</w:t>
      </w:r>
    </w:p>
    <w:p>
      <w:pPr>
        <w:pStyle w:val="ListNumber"/>
      </w:pPr>
      <w:r>
        <w:t>When you break the seal, open the lot's page (scan its FEB label or its EH&amp;S tag) and press Open (not Edit → State). The app stamps Opened with today's date.</w:t>
      </w:r>
    </w:p>
    <w:p>
      <w:pPr>
        <w:pStyle w:val="ListNumber"/>
      </w:pPr>
      <w:r>
        <w:t>At the cure buy-off, confirm or correct the lots it offers (CS-013 §7.2 step 4).</w:t>
      </w:r>
    </w:p>
    <w:p>
      <w:pPr>
        <w:pStyle w:val="ListNumber"/>
      </w:pPr>
      <w:r>
        <w:t>When you finish a layup, you should log what you used on the work order (Consume on the material line, or Materials used at the cure buy-off) and answer The lot afterwards: still fine, running low, or now empty.</w:t>
      </w:r>
    </w:p>
    <w:p>
      <w:pPr>
        <w:pStyle w:val="ListNumber"/>
      </w:pPr>
      <w:r>
        <w:t>When a container runs out, pick "now empty" in The lot afterwards, or press Empty on its page. The app stamps Emptied and sets How full to Empty.</w:t>
      </w:r>
    </w:p>
    <w:p>
      <w:pPr>
        <w:pStyle w:val="ListNumber"/>
      </w:pPr>
      <w:r>
        <w:t>An emptied container should be marked Empty, never deleted. An Empty record counts as zero toward the minimum (CS-011 §4), and the EH&amp;S reconciliation needs it to tell campus the container is gone (§7.10).</w:t>
      </w:r>
    </w:p>
    <w:p>
      <w:pPr>
        <w:pStyle w:val="ListNumber"/>
      </w:pPr>
      <w:r>
        <w:t>When you notice a container's level has changed, set How full (Full, Half, Low, Empty) in Edit.</w:t>
      </w:r>
    </w:p>
    <w:p>
      <w:pPr>
        <w:pStyle w:val="Heading3"/>
      </w:pPr>
      <w:r>
        <w:t>7.9 Expired material</w:t>
      </w:r>
    </w:p>
    <w:p>
      <w:r>
        <w:t>The storage map shows "N expired" on a shelf holding a lot past its Expires date that is not Empty. The cure buy-off does not check expiry.</w:t>
      </w:r>
    </w:p>
    <w:p>
      <w:r>
        <w:t>You should check Expires on the container or its lot page before you mix (CS-008 §7 step 1). Past it, ask a lead before it goes on a part.</w:t>
      </w:r>
    </w:p>
    <w:p>
      <w:r>
        <w:t>[lead input needed: whether expired resin, hardener or XCR may be used for R&amp;D or a test panel, what test it needs first, and the disposal route through campus EH&amp;S.]</w:t>
      </w:r>
    </w:p>
    <w:p>
      <w:pPr>
        <w:pStyle w:val="Heading3"/>
      </w:pPr>
      <w:r>
        <w:t>7.10 Reconciling with campus EH&amp;S</w:t>
      </w:r>
    </w:p>
    <w:p>
      <w:r>
        <w:t>Campus keeps its own inventory of every tagged container in RSS Chemicals. Ours and theirs agree only if someone compares them. The owner is the member holding the campus chemical-inventory role. [lead input needed: who holds it.]</w:t>
      </w:r>
    </w:p>
    <w:p>
      <w:pPr>
        <w:pStyle w:val="ListNumber"/>
      </w:pPr>
      <w:r>
        <w:t>Once a month, at the stock walk (CS-011 §7.1), open Inventory → Export and, under EH&amp;S reconciliation, press Copy for Sheets (or Download .csv). Rows that need attention sort first.</w:t>
      </w:r>
    </w:p>
    <w:p>
      <w:pPr>
        <w:pStyle w:val="ListNumber"/>
      </w:pPr>
      <w:r>
        <w:t>Paste it into a sheet in the season's Drive folder.</w:t>
      </w:r>
    </w:p>
    <w:p>
      <w:pPr>
        <w:pStyle w:val="ListNumber"/>
      </w:pPr>
      <w:r>
        <w:t>Work every note on a chemical container (resin, hardener, chemical consumable); a non-chemical consumable such as cups or gloves shows "no EH&amp;S tag on record" and needs nothing. "no EH&amp;S tag on record" on a chemical container: find the container and record its tag (CS-001 §7.11), or give an untagged one a 5522 FEB label. "check the tag": compare the code with the face of the tag and correct it. "emptied" with "retire it in RSS too": retire that container in RSS.</w:t>
      </w:r>
    </w:p>
    <w:p>
      <w:pPr>
        <w:pStyle w:val="ListNumber"/>
      </w:pPr>
      <w:r>
        <w:t xml:space="preserve">Compare the </w:t>
      </w:r>
      <w:r>
        <w:rPr>
          <w:rFonts w:ascii="Courier New" w:hAnsi="Courier New"/>
        </w:rPr>
        <w:t>ehsBarcode</w:t>
      </w:r>
      <w:r>
        <w:t xml:space="preserve"> column with the RSS export (it is the unpunctuated code, so a lookup lands). Walk the shelves with the </w:t>
      </w:r>
      <w:r>
        <w:rPr>
          <w:rFonts w:ascii="Courier New" w:hAnsi="Courier New"/>
        </w:rPr>
        <w:t>printed</w:t>
      </w:r>
      <w:r>
        <w:t xml:space="preserve"> column, which matches the sticker character for character.</w:t>
      </w:r>
    </w:p>
    <w:p>
      <w:pPr>
        <w:pStyle w:val="ListNumber"/>
      </w:pPr>
      <w:r>
        <w:t>A container RSS lists and the app does not: log it at the desk (Scan → Log it, §7.2).</w:t>
      </w:r>
    </w:p>
    <w:p>
      <w:pPr>
        <w:pStyle w:val="ListNumber"/>
      </w:pPr>
      <w:r>
        <w:t>For many such containers at once, a lead runs EH&amp;S import (Inventory toolbar, lead only). First export the inventory from the RSS Chemicals web app.</w:t>
      </w:r>
    </w:p>
    <w:p>
      <w:pPr>
        <w:pStyle w:val="ListNumber"/>
      </w:pPr>
      <w:r>
        <w:t>In EH&amp;S import, choose the file (.xlsx, or a re-saved .csv).</w:t>
      </w:r>
    </w:p>
    <w:p>
      <w:pPr>
        <w:pStyle w:val="ListNumber"/>
      </w:pPr>
      <w:r>
        <w:t>Tick our sublocations (Formula Electric's start ticked).</w:t>
      </w:r>
    </w:p>
    <w:p>
      <w:pPr>
        <w:pStyle w:val="ListNumber"/>
      </w:pPr>
      <w:r>
        <w:t>Set "Their shelf is our" for each sublocation.</w:t>
      </w:r>
    </w:p>
    <w:p>
      <w:pPr>
        <w:pStyle w:val="ListNumber"/>
      </w:pPr>
      <w:r>
        <w:t>Untick any container we deliberately do not track.</w:t>
      </w:r>
    </w:p>
    <w:p>
      <w:pPr>
        <w:pStyle w:val="ListNumber"/>
      </w:pPr>
      <w:r>
        <w:t>Press Create N records.</w:t>
      </w:r>
    </w:p>
    <w:p>
      <w:pPr>
        <w:pStyle w:val="ListNumber"/>
      </w:pPr>
      <w:r>
        <w:t>EH&amp;S import never edits or deletes, and skips any code a record already wears. It guesses class and role from the name and Hazard from the H-codes, and carries over the received and expiry dates. Check each new record's Class, Role and Hazard afterwards.</w:t>
      </w:r>
    </w:p>
    <w:p>
      <w:pPr>
        <w:pStyle w:val="Heading3"/>
      </w:pPr>
      <w:r>
        <w:t>7.11 Donations, sponsor stock and legacy stock</w:t>
      </w:r>
    </w:p>
    <w:p>
      <w:pPr>
        <w:pStyle w:val="ListNumber"/>
      </w:pPr>
      <w:r>
        <w:t>Receive donated or sponsor material through the desk like any delivery, from Receive a delivery. There is no purchase, so no Arrived ▸.</w:t>
      </w:r>
    </w:p>
    <w:p>
      <w:pPr>
        <w:pStyle w:val="ListNumber"/>
      </w:pPr>
      <w:r>
        <w:t>Name the sponsor or donor in Supplier.</w:t>
      </w:r>
    </w:p>
    <w:p>
      <w:pPr>
        <w:pStyle w:val="ListNumber"/>
      </w:pPr>
      <w:r>
        <w:t>Leave $ each blank. Donated stock stays un-costed.</w:t>
      </w:r>
    </w:p>
    <w:p>
      <w:pPr>
        <w:pStyle w:val="ListNumber"/>
      </w:pPr>
      <w:r>
        <w:t>For legacy stock found on a shelf with no record, set Arrived to the day you log it: the Received date then means "logged", which is all we know.</w:t>
      </w:r>
    </w:p>
    <w:p>
      <w:pPr>
        <w:pStyle w:val="ListNumber"/>
      </w:pPr>
      <w:r>
        <w:t>Treat chemical containers as in §6, §7.6 and §7.7: Hazard, EH&amp;S tag, Expires.</w:t>
      </w:r>
    </w:p>
    <w:p>
      <w:pPr>
        <w:pStyle w:val="ListNumber"/>
      </w:pPr>
      <w:r>
        <w:t>Asking a sponsor for material is CS-012 §7.6.</w:t>
      </w:r>
    </w:p>
    <w:p>
      <w:pPr>
        <w:pStyle w:val="Heading2"/>
      </w:pPr>
      <w:r>
        <w:t>8. Quality checks / acceptance criteria</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412"/>
            <w:shd w:val="clear" w:fill="003262"/>
          </w:tcPr>
          <w:p>
            <w:r>
              <w:rPr>
                <w:b/>
                <w:color w:val="FFFFFF"/>
                <w:sz w:val="19"/>
              </w:rPr>
              <w:t>Check</w:t>
            </w:r>
          </w:p>
        </w:tc>
        <w:tc>
          <w:tcPr>
            <w:tcW w:type="dxa" w:w="2412"/>
            <w:shd w:val="clear" w:fill="003262"/>
          </w:tcPr>
          <w:p>
            <w:r>
              <w:rPr>
                <w:b/>
                <w:color w:val="FFFFFF"/>
                <w:sz w:val="19"/>
              </w:rPr>
              <w:t>Target</w:t>
            </w:r>
          </w:p>
        </w:tc>
        <w:tc>
          <w:tcPr>
            <w:tcW w:type="dxa" w:w="2412"/>
            <w:shd w:val="clear" w:fill="003262"/>
          </w:tcPr>
          <w:p>
            <w:r>
              <w:rPr>
                <w:b/>
                <w:color w:val="FFFFFF"/>
                <w:sz w:val="19"/>
              </w:rPr>
              <w:t>Method</w:t>
            </w:r>
          </w:p>
        </w:tc>
        <w:tc>
          <w:tcPr>
            <w:tcW w:type="dxa" w:w="2412"/>
            <w:shd w:val="clear" w:fill="003262"/>
          </w:tcPr>
          <w:p>
            <w:r>
              <w:rPr>
                <w:b/>
                <w:color w:val="FFFFFF"/>
                <w:sz w:val="19"/>
              </w:rPr>
              <w:t>Record where</w:t>
            </w:r>
          </w:p>
        </w:tc>
      </w:tr>
      <w:tr>
        <w:tc>
          <w:tcPr>
            <w:tcW w:type="dxa" w:w="2412"/>
          </w:tcPr>
          <w:p>
            <w:r>
              <w:rPr>
                <w:sz w:val="19"/>
              </w:rPr>
              <w:t>Delivery received the day it arrives</w:t>
            </w:r>
          </w:p>
        </w:tc>
        <w:tc>
          <w:tcPr>
            <w:tcW w:type="dxa" w:w="2412"/>
          </w:tcPr>
          <w:p>
            <w:r>
              <w:rPr>
                <w:sz w:val="19"/>
              </w:rPr>
              <w:t>100%</w:t>
            </w:r>
          </w:p>
        </w:tc>
        <w:tc>
          <w:tcPr>
            <w:tcW w:type="dxa" w:w="2412"/>
          </w:tcPr>
          <w:p>
            <w:r>
              <w:rPr>
                <w:sz w:val="19"/>
              </w:rPr>
              <w:t>Incoming shows no line whose goods are already on a shelf; the stock walk finds no unrecorded box</w:t>
            </w:r>
          </w:p>
        </w:tc>
        <w:tc>
          <w:tcPr>
            <w:tcW w:type="dxa" w:w="2412"/>
          </w:tcPr>
          <w:p>
            <w:r>
              <w:rPr>
                <w:sz w:val="19"/>
              </w:rPr>
              <w:t>Lot Received date</w:t>
            </w:r>
          </w:p>
        </w:tc>
      </w:tr>
      <w:tr>
        <w:tc>
          <w:tcPr>
            <w:tcW w:type="dxa" w:w="2412"/>
          </w:tcPr>
          <w:p>
            <w:r>
              <w:rPr>
                <w:sz w:val="19"/>
              </w:rPr>
              <w:t>Every chemical container has an EH&amp;S tag</w:t>
            </w:r>
          </w:p>
        </w:tc>
        <w:tc>
          <w:tcPr>
            <w:tcW w:type="dxa" w:w="2412"/>
          </w:tcPr>
          <w:p>
            <w:r>
              <w:rPr>
                <w:sz w:val="19"/>
              </w:rPr>
              <w:t>100%; an untagged one carries a 5522 FEB label until campus tags it</w:t>
            </w:r>
          </w:p>
        </w:tc>
        <w:tc>
          <w:tcPr>
            <w:tcW w:type="dxa" w:w="2412"/>
          </w:tcPr>
          <w:p>
            <w:r>
              <w:rPr>
                <w:sz w:val="19"/>
              </w:rPr>
              <w:t>Export → EH&amp;S reconciliation, "no EH&amp;S tag on record" rows for chemical containers checked at the walk</w:t>
            </w:r>
          </w:p>
        </w:tc>
        <w:tc>
          <w:tcPr>
            <w:tcW w:type="dxa" w:w="2412"/>
          </w:tcPr>
          <w:p>
            <w:r>
              <w:rPr>
                <w:sz w:val="19"/>
              </w:rPr>
              <w:t>Export, in the season Drive folder</w:t>
            </w:r>
          </w:p>
        </w:tc>
      </w:tr>
      <w:tr>
        <w:tc>
          <w:tcPr>
            <w:tcW w:type="dxa" w:w="2412"/>
          </w:tcPr>
          <w:p>
            <w:r>
              <w:rPr>
                <w:sz w:val="19"/>
              </w:rPr>
              <w:t>Every chemical lot has Hazard set</w:t>
            </w:r>
          </w:p>
        </w:tc>
        <w:tc>
          <w:tcPr>
            <w:tcW w:type="dxa" w:w="2412"/>
          </w:tcPr>
          <w:p>
            <w:r>
              <w:rPr>
                <w:sz w:val="19"/>
              </w:rPr>
              <w:t>100%</w:t>
            </w:r>
          </w:p>
        </w:tc>
        <w:tc>
          <w:tcPr>
            <w:tcW w:type="dxa" w:w="2412"/>
          </w:tcPr>
          <w:p>
            <w:r>
              <w:rPr>
                <w:sz w:val="19"/>
              </w:rPr>
              <w:t xml:space="preserve">Export → EH&amp;S reconciliation, </w:t>
            </w:r>
            <w:r>
              <w:rPr>
                <w:rFonts w:ascii="Courier New" w:hAnsi="Courier New"/>
                <w:sz w:val="19"/>
              </w:rPr>
              <w:t>hazard</w:t>
            </w:r>
            <w:r>
              <w:rPr>
                <w:sz w:val="19"/>
              </w:rPr>
              <w:t xml:space="preserve"> column has no blanks on chemical rows</w:t>
            </w:r>
          </w:p>
        </w:tc>
        <w:tc>
          <w:tcPr>
            <w:tcW w:type="dxa" w:w="2412"/>
          </w:tcPr>
          <w:p>
            <w:r>
              <w:rPr>
                <w:sz w:val="19"/>
              </w:rPr>
              <w:t>Lot record</w:t>
            </w:r>
          </w:p>
        </w:tc>
      </w:tr>
      <w:tr>
        <w:tc>
          <w:tcPr>
            <w:tcW w:type="dxa" w:w="2412"/>
          </w:tcPr>
          <w:p>
            <w:r>
              <w:rPr>
                <w:sz w:val="19"/>
              </w:rPr>
              <w:t>AI-read expiries confirmed</w:t>
            </w:r>
          </w:p>
        </w:tc>
        <w:tc>
          <w:tcPr>
            <w:tcW w:type="dxa" w:w="2412"/>
          </w:tcPr>
          <w:p>
            <w:r>
              <w:rPr>
                <w:sz w:val="19"/>
              </w:rPr>
              <w:t>0 lots still "vendor label (AI read)" at the walk</w:t>
            </w:r>
          </w:p>
        </w:tc>
        <w:tc>
          <w:tcPr>
            <w:tcW w:type="dxa" w:w="2412"/>
          </w:tcPr>
          <w:p>
            <w:r>
              <w:rPr>
                <w:sz w:val="19"/>
              </w:rPr>
              <w:t>Search the Materials list for "AI read"</w:t>
            </w:r>
          </w:p>
        </w:tc>
        <w:tc>
          <w:tcPr>
            <w:tcW w:type="dxa" w:w="2412"/>
          </w:tcPr>
          <w:p>
            <w:r>
              <w:rPr>
                <w:sz w:val="19"/>
              </w:rPr>
              <w:t>Lot record, Expiry from</w:t>
            </w:r>
          </w:p>
        </w:tc>
      </w:tr>
      <w:tr>
        <w:tc>
          <w:tcPr>
            <w:tcW w:type="dxa" w:w="2412"/>
          </w:tcPr>
          <w:p>
            <w:r>
              <w:rPr>
                <w:sz w:val="19"/>
              </w:rPr>
              <w:t>Emptied containers retired in RSS</w:t>
            </w:r>
          </w:p>
        </w:tc>
        <w:tc>
          <w:tcPr>
            <w:tcW w:type="dxa" w:w="2412"/>
          </w:tcPr>
          <w:p>
            <w:r>
              <w:rPr>
                <w:sz w:val="19"/>
              </w:rPr>
              <w:t>100%, monthly</w:t>
            </w:r>
          </w:p>
        </w:tc>
        <w:tc>
          <w:tcPr>
            <w:tcW w:type="dxa" w:w="2412"/>
          </w:tcPr>
          <w:p>
            <w:r>
              <w:rPr>
                <w:sz w:val="19"/>
              </w:rPr>
              <w:t>Export → EH&amp;S reconciliation, "emptied" notes</w:t>
            </w:r>
          </w:p>
        </w:tc>
        <w:tc>
          <w:tcPr>
            <w:tcW w:type="dxa" w:w="2412"/>
          </w:tcPr>
          <w:p>
            <w:r>
              <w:rPr>
                <w:sz w:val="19"/>
              </w:rPr>
              <w:t>Export</w:t>
            </w:r>
          </w:p>
        </w:tc>
      </w:tr>
      <w:tr>
        <w:tc>
          <w:tcPr>
            <w:tcW w:type="dxa" w:w="2412"/>
          </w:tcPr>
          <w:p>
            <w:r>
              <w:rPr>
                <w:sz w:val="19"/>
              </w:rPr>
              <w:t>No expired lot on a season part</w:t>
            </w:r>
          </w:p>
        </w:tc>
        <w:tc>
          <w:tcPr>
            <w:tcW w:type="dxa" w:w="2412"/>
          </w:tcPr>
          <w:p>
            <w:r>
              <w:rPr>
                <w:sz w:val="19"/>
              </w:rPr>
              <w:t>0</w:t>
            </w:r>
          </w:p>
        </w:tc>
        <w:tc>
          <w:tcPr>
            <w:tcW w:type="dxa" w:w="2412"/>
          </w:tcPr>
          <w:p>
            <w:r>
              <w:rPr>
                <w:sz w:val="19"/>
              </w:rPr>
              <w:t>Compare the lots on each cure buy-off with their Expires date</w:t>
            </w:r>
          </w:p>
        </w:tc>
        <w:tc>
          <w:tcPr>
            <w:tcW w:type="dxa" w:w="2412"/>
          </w:tcPr>
          <w:p>
            <w:r>
              <w:rPr>
                <w:sz w:val="19"/>
              </w:rPr>
              <w:t>Work order cure buy-off</w:t>
            </w:r>
          </w:p>
        </w:tc>
      </w:tr>
    </w:tbl>
    <w:p/>
    <w:p>
      <w:pPr>
        <w:pStyle w:val="Heading2"/>
      </w:pPr>
      <w:r>
        <w:t>9. Records</w:t>
      </w:r>
    </w:p>
    <w:p>
      <w:pPr>
        <w:pStyle w:val="ListBullet"/>
      </w:pPr>
      <w:r>
        <w:t>Lot records (</w:t>
      </w:r>
      <w:r>
        <w:rPr>
          <w:rFonts w:ascii="Courier New" w:hAnsi="Courier New"/>
        </w:rPr>
        <w:t>FAB-SN6-###</w:t>
      </w:r>
      <w:r>
        <w:t xml:space="preserve">, </w:t>
      </w:r>
      <w:r>
        <w:rPr>
          <w:rFonts w:ascii="Courier New" w:hAnsi="Courier New"/>
        </w:rPr>
        <w:t>RSN-SN6-###</w:t>
      </w:r>
      <w:r>
        <w:t xml:space="preserve">, </w:t>
      </w:r>
      <w:r>
        <w:rPr>
          <w:rFonts w:ascii="Courier New" w:hAnsi="Courier New"/>
        </w:rPr>
        <w:t>CON-SN6-###</w:t>
      </w:r>
      <w:r>
        <w:t>): Material, Material type, State, Role, Vendor lot number, EH&amp;S barcode, Supplier, Received, Opened, Expires, Expiry from, Home location, How full, How many, Unit cost ($), Hazard, Emptied.</w:t>
      </w:r>
    </w:p>
    <w:p>
      <w:pPr>
        <w:pStyle w:val="ListBullet"/>
      </w:pPr>
      <w:r>
        <w:t xml:space="preserve">A received lot's "From purchase" chip links it to its </w:t>
      </w:r>
      <w:r>
        <w:rPr>
          <w:rFonts w:ascii="Courier New" w:hAnsi="Courier New"/>
        </w:rPr>
        <w:t>BUY-SN6-###</w:t>
      </w:r>
      <w:r>
        <w:t>; the purchase line records which lots came from it. Incoming is worked out from these links, so deleting a lot puts its line back on Incoming.</w:t>
      </w:r>
    </w:p>
    <w:p>
      <w:pPr>
        <w:pStyle w:val="ListBullet"/>
      </w:pPr>
      <w:r>
        <w:t>The monthly EH&amp;S reconciliation export, pasted into the season's Drive folder.</w:t>
      </w:r>
    </w:p>
    <w:p>
      <w:pPr>
        <w:pStyle w:val="ListBullet"/>
      </w:pPr>
      <w:r>
        <w:t>The lead's backup (⋯ → Backup database) holds every lot record.</w:t>
      </w:r>
    </w:p>
    <w:p>
      <w:pPr>
        <w:pStyle w:val="ListBullet"/>
      </w:pPr>
      <w:r>
        <w:t>Packing-slip and label photos are not records: they are deleted once read.</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3262"/>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3262"/>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3262"/>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2026-01-01T00:00:00Z</dcterms:created>
  <dcterms:modified xsi:type="dcterms:W3CDTF">2026-01-01T00:00:00Z</dcterms:modified>
  <cp:category/>
</cp:coreProperties>
</file>