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05B60C">
      <w:pPr>
        <w:spacing w:line="360" w:lineRule="auto"/>
        <w:jc w:val="center"/>
        <w:rPr>
          <w:rFonts w:hint="eastAsia" w:ascii="微软雅黑" w:hAnsi="微软雅黑" w:eastAsia="微软雅黑"/>
          <w:b/>
          <w:bCs/>
          <w:sz w:val="24"/>
          <w:szCs w:val="24"/>
        </w:rPr>
      </w:pPr>
      <w:r>
        <w:rPr>
          <w:rFonts w:hint="eastAsia" w:ascii="微软雅黑" w:hAnsi="微软雅黑" w:eastAsia="微软雅黑"/>
          <w:b/>
          <w:bCs/>
          <w:sz w:val="24"/>
          <w:szCs w:val="24"/>
        </w:rPr>
        <w:t>专利技术交底书</w:t>
      </w:r>
    </w:p>
    <w:p w14:paraId="5C25B67C">
      <w:pPr>
        <w:autoSpaceDN w:val="0"/>
        <w:jc w:val="left"/>
        <w:textAlignment w:val="center"/>
        <w:rPr>
          <w:rFonts w:hint="eastAsia" w:ascii="微软雅黑" w:hAnsi="微软雅黑" w:eastAsia="微软雅黑"/>
          <w:b/>
          <w:bCs/>
          <w:color w:val="000000"/>
          <w:sz w:val="18"/>
          <w:szCs w:val="18"/>
        </w:rPr>
      </w:pPr>
      <w:r>
        <w:rPr>
          <w:rFonts w:hint="eastAsia" w:ascii="微软雅黑" w:hAnsi="微软雅黑" w:eastAsia="微软雅黑"/>
          <w:b/>
          <w:bCs/>
          <w:color w:val="FF0000"/>
          <w:sz w:val="18"/>
          <w:szCs w:val="18"/>
        </w:rPr>
        <w:t>标注 *</w:t>
      </w:r>
      <w:r>
        <w:rPr>
          <w:rFonts w:ascii="微软雅黑" w:hAnsi="微软雅黑" w:eastAsia="微软雅黑"/>
          <w:b/>
          <w:bCs/>
          <w:color w:val="FF0000"/>
          <w:sz w:val="18"/>
          <w:szCs w:val="18"/>
        </w:rPr>
        <w:t xml:space="preserve"> </w:t>
      </w:r>
      <w:r>
        <w:rPr>
          <w:rFonts w:hint="eastAsia" w:ascii="微软雅黑" w:hAnsi="微软雅黑" w:eastAsia="微软雅黑"/>
          <w:b/>
          <w:bCs/>
          <w:color w:val="FF0000"/>
          <w:sz w:val="18"/>
          <w:szCs w:val="18"/>
        </w:rPr>
        <w:t>为必填项</w:t>
      </w:r>
    </w:p>
    <w:tbl>
      <w:tblPr>
        <w:tblStyle w:val="8"/>
        <w:tblW w:w="8776" w:type="dxa"/>
        <w:tblInd w:w="0" w:type="dxa"/>
        <w:tblLayout w:type="fixed"/>
        <w:tblCellMar>
          <w:top w:w="0" w:type="dxa"/>
          <w:left w:w="108" w:type="dxa"/>
          <w:bottom w:w="0" w:type="dxa"/>
          <w:right w:w="108" w:type="dxa"/>
        </w:tblCellMar>
      </w:tblPr>
      <w:tblGrid>
        <w:gridCol w:w="2235"/>
        <w:gridCol w:w="1842"/>
        <w:gridCol w:w="2268"/>
        <w:gridCol w:w="2431"/>
      </w:tblGrid>
      <w:tr w14:paraId="62AD937D">
        <w:tblPrEx>
          <w:tblCellMar>
            <w:top w:w="0" w:type="dxa"/>
            <w:left w:w="108" w:type="dxa"/>
            <w:bottom w:w="0" w:type="dxa"/>
            <w:right w:w="108" w:type="dxa"/>
          </w:tblCellMar>
        </w:tblPrEx>
        <w:trPr>
          <w:trHeight w:val="391" w:hRule="atLeast"/>
        </w:trPr>
        <w:tc>
          <w:tcPr>
            <w:tcW w:w="2235" w:type="dxa"/>
            <w:tcBorders>
              <w:top w:val="single" w:color="000000" w:sz="8" w:space="0"/>
              <w:left w:val="single" w:color="000000" w:sz="8" w:space="0"/>
              <w:bottom w:val="single" w:color="000000" w:sz="4" w:space="0"/>
              <w:right w:val="single" w:color="000000" w:sz="4" w:space="0"/>
            </w:tcBorders>
            <w:vAlign w:val="center"/>
          </w:tcPr>
          <w:p w14:paraId="2DD6A1DE">
            <w:pPr>
              <w:autoSpaceDN w:val="0"/>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sz w:val="18"/>
                <w:szCs w:val="18"/>
              </w:rPr>
              <w:t>交底书名称</w:t>
            </w:r>
          </w:p>
        </w:tc>
        <w:tc>
          <w:tcPr>
            <w:tcW w:w="6541" w:type="dxa"/>
            <w:gridSpan w:val="3"/>
            <w:tcBorders>
              <w:top w:val="single" w:color="000000" w:sz="8" w:space="0"/>
              <w:left w:val="single" w:color="000000" w:sz="4" w:space="0"/>
              <w:bottom w:val="single" w:color="000000" w:sz="4" w:space="0"/>
              <w:right w:val="single" w:color="000000" w:sz="8" w:space="0"/>
            </w:tcBorders>
            <w:vAlign w:val="center"/>
          </w:tcPr>
          <w:p w14:paraId="1E0C8DEE">
            <w:pPr>
              <w:autoSpaceDN w:val="0"/>
              <w:textAlignment w:val="center"/>
              <w:rPr>
                <w:rFonts w:hint="eastAsia" w:ascii="微软雅黑" w:hAnsi="微软雅黑" w:eastAsia="微软雅黑"/>
                <w:color w:val="000000"/>
                <w:sz w:val="18"/>
                <w:szCs w:val="18"/>
              </w:rPr>
            </w:pPr>
            <w:r>
              <w:rPr>
                <w:rFonts w:ascii="微软雅黑" w:hAnsi="微软雅黑" w:eastAsia="微软雅黑"/>
                <w:sz w:val="18"/>
                <w:szCs w:val="18"/>
              </w:rPr>
              <w:t>一种无真值标注条件下的蒙皮质量自动评估、异常筛选与数据闭环构建方法、系统及存储介质</w:t>
            </w:r>
          </w:p>
        </w:tc>
      </w:tr>
      <w:tr w14:paraId="37AEAB50">
        <w:tblPrEx>
          <w:tblCellMar>
            <w:top w:w="0" w:type="dxa"/>
            <w:left w:w="108" w:type="dxa"/>
            <w:bottom w:w="0" w:type="dxa"/>
            <w:right w:w="108" w:type="dxa"/>
          </w:tblCellMar>
        </w:tblPrEx>
        <w:trPr>
          <w:trHeight w:val="423"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38000CCF">
            <w:pPr>
              <w:autoSpaceDN w:val="0"/>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交底书</w:t>
            </w:r>
            <w:r>
              <w:rPr>
                <w:rFonts w:ascii="微软雅黑" w:hAnsi="微软雅黑" w:eastAsia="微软雅黑"/>
                <w:color w:val="000000"/>
                <w:sz w:val="18"/>
                <w:szCs w:val="18"/>
              </w:rPr>
              <w:t>撰写人</w:t>
            </w:r>
          </w:p>
        </w:tc>
        <w:tc>
          <w:tcPr>
            <w:tcW w:w="1842" w:type="dxa"/>
            <w:tcBorders>
              <w:top w:val="single" w:color="000000" w:sz="4" w:space="0"/>
              <w:left w:val="single" w:color="000000" w:sz="4" w:space="0"/>
              <w:bottom w:val="single" w:color="000000" w:sz="4" w:space="0"/>
              <w:right w:val="single" w:color="000000" w:sz="4" w:space="0"/>
            </w:tcBorders>
            <w:vAlign w:val="center"/>
          </w:tcPr>
          <w:p w14:paraId="74F83857">
            <w:pPr>
              <w:autoSpaceDN w:val="0"/>
              <w:textAlignment w:val="center"/>
              <w:rPr>
                <w:rFonts w:hint="eastAsia" w:ascii="微软雅黑" w:hAnsi="微软雅黑" w:eastAsia="微软雅黑"/>
                <w:color w:val="000000"/>
                <w:sz w:val="18"/>
                <w:szCs w:val="18"/>
              </w:rPr>
            </w:pPr>
            <w:r>
              <w:rPr>
                <w:rFonts w:ascii="微软雅黑" w:hAnsi="微软雅黑" w:eastAsia="微软雅黑"/>
                <w:sz w:val="18"/>
                <w:szCs w:val="18"/>
              </w:rPr>
              <w:t>汪金奕</w:t>
            </w:r>
          </w:p>
        </w:tc>
        <w:tc>
          <w:tcPr>
            <w:tcW w:w="2268" w:type="dxa"/>
            <w:tcBorders>
              <w:top w:val="single" w:color="000000" w:sz="4" w:space="0"/>
              <w:left w:val="single" w:color="000000" w:sz="4" w:space="0"/>
              <w:bottom w:val="single" w:color="000000" w:sz="4" w:space="0"/>
              <w:right w:val="single" w:color="000000" w:sz="4" w:space="0"/>
            </w:tcBorders>
            <w:vAlign w:val="center"/>
          </w:tcPr>
          <w:p w14:paraId="719644F5">
            <w:pPr>
              <w:autoSpaceDN w:val="0"/>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本发明</w:t>
            </w:r>
            <w:r>
              <w:rPr>
                <w:rFonts w:ascii="微软雅黑" w:hAnsi="微软雅黑" w:eastAsia="微软雅黑"/>
                <w:color w:val="000000"/>
                <w:sz w:val="18"/>
                <w:szCs w:val="18"/>
              </w:rPr>
              <w:t>涉及产品和技术</w:t>
            </w:r>
          </w:p>
        </w:tc>
        <w:tc>
          <w:tcPr>
            <w:tcW w:w="2431" w:type="dxa"/>
            <w:tcBorders>
              <w:top w:val="single" w:color="000000" w:sz="4" w:space="0"/>
              <w:left w:val="single" w:color="000000" w:sz="4" w:space="0"/>
              <w:bottom w:val="single" w:color="000000" w:sz="4" w:space="0"/>
              <w:right w:val="single" w:color="000000" w:sz="8" w:space="0"/>
            </w:tcBorders>
            <w:vAlign w:val="center"/>
          </w:tcPr>
          <w:p w14:paraId="2CE065D0">
            <w:pPr>
              <w:autoSpaceDN w:val="0"/>
              <w:textAlignment w:val="center"/>
              <w:rPr>
                <w:rFonts w:hint="eastAsia" w:ascii="微软雅黑" w:hAnsi="微软雅黑" w:eastAsia="微软雅黑"/>
                <w:color w:val="000000"/>
                <w:sz w:val="18"/>
                <w:szCs w:val="18"/>
              </w:rPr>
            </w:pPr>
            <w:r>
              <w:rPr>
                <w:rFonts w:ascii="微软雅黑" w:hAnsi="微软雅黑" w:eastAsia="微软雅黑"/>
                <w:sz w:val="18"/>
                <w:szCs w:val="18"/>
              </w:rPr>
              <w:t>三维角色动画蒙皮质量评估</w:t>
            </w:r>
          </w:p>
        </w:tc>
      </w:tr>
      <w:tr w14:paraId="7DF1C834">
        <w:tblPrEx>
          <w:tblCellMar>
            <w:top w:w="0" w:type="dxa"/>
            <w:left w:w="108" w:type="dxa"/>
            <w:bottom w:w="0" w:type="dxa"/>
            <w:right w:w="108" w:type="dxa"/>
          </w:tblCellMar>
        </w:tblPrEx>
        <w:trPr>
          <w:trHeight w:val="408"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42EEF23B">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竞对或竞品名称（如有）</w:t>
            </w:r>
          </w:p>
        </w:tc>
        <w:tc>
          <w:tcPr>
            <w:tcW w:w="1842" w:type="dxa"/>
            <w:tcBorders>
              <w:top w:val="single" w:color="000000" w:sz="4" w:space="0"/>
              <w:left w:val="single" w:color="000000" w:sz="4" w:space="0"/>
              <w:bottom w:val="single" w:color="000000" w:sz="4" w:space="0"/>
              <w:right w:val="single" w:color="000000" w:sz="8" w:space="0"/>
            </w:tcBorders>
            <w:vAlign w:val="center"/>
          </w:tcPr>
          <w:p w14:paraId="63CF96ED">
            <w:pPr>
              <w:autoSpaceDN w:val="0"/>
              <w:jc w:val="left"/>
              <w:textAlignment w:val="center"/>
              <w:rPr>
                <w:rFonts w:hint="eastAsia" w:ascii="微软雅黑" w:hAnsi="微软雅黑" w:eastAsia="微软雅黑"/>
                <w:color w:val="000000"/>
                <w:sz w:val="18"/>
                <w:szCs w:val="18"/>
              </w:rPr>
            </w:pPr>
          </w:p>
        </w:tc>
        <w:tc>
          <w:tcPr>
            <w:tcW w:w="2268" w:type="dxa"/>
            <w:tcBorders>
              <w:top w:val="single" w:color="000000" w:sz="4" w:space="0"/>
              <w:left w:val="single" w:color="000000" w:sz="4" w:space="0"/>
              <w:bottom w:val="single" w:color="000000" w:sz="4" w:space="0"/>
              <w:right w:val="single" w:color="000000" w:sz="8" w:space="0"/>
            </w:tcBorders>
            <w:vAlign w:val="center"/>
          </w:tcPr>
          <w:p w14:paraId="2DDDE59B">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撰写人联络方式</w:t>
            </w:r>
          </w:p>
        </w:tc>
        <w:tc>
          <w:tcPr>
            <w:tcW w:w="2431" w:type="dxa"/>
            <w:tcBorders>
              <w:top w:val="single" w:color="000000" w:sz="4" w:space="0"/>
              <w:left w:val="single" w:color="000000" w:sz="4" w:space="0"/>
              <w:bottom w:val="single" w:color="000000" w:sz="4" w:space="0"/>
              <w:right w:val="single" w:color="000000" w:sz="8" w:space="0"/>
            </w:tcBorders>
            <w:vAlign w:val="center"/>
          </w:tcPr>
          <w:p w14:paraId="34BE272D">
            <w:pPr>
              <w:autoSpaceDN w:val="0"/>
              <w:jc w:val="left"/>
              <w:textAlignment w:val="center"/>
              <w:rPr>
                <w:rFonts w:hint="eastAsia" w:ascii="微软雅黑" w:hAnsi="微软雅黑" w:eastAsia="微软雅黑"/>
                <w:color w:val="000000"/>
                <w:sz w:val="18"/>
                <w:szCs w:val="18"/>
              </w:rPr>
            </w:pPr>
            <w:r>
              <w:rPr>
                <w:rFonts w:ascii="微软雅黑" w:hAnsi="微软雅黑" w:eastAsia="微软雅黑"/>
                <w:sz w:val="18"/>
                <w:szCs w:val="18"/>
              </w:rPr>
              <w:t>andyjywang@tencent.com</w:t>
            </w:r>
          </w:p>
        </w:tc>
      </w:tr>
      <w:tr w14:paraId="1062FA9B">
        <w:tblPrEx>
          <w:tblCellMar>
            <w:top w:w="0" w:type="dxa"/>
            <w:left w:w="108" w:type="dxa"/>
            <w:bottom w:w="0" w:type="dxa"/>
            <w:right w:w="108" w:type="dxa"/>
          </w:tblCellMar>
        </w:tblPrEx>
        <w:trPr>
          <w:trHeight w:val="408" w:hRule="atLeast"/>
        </w:trPr>
        <w:tc>
          <w:tcPr>
            <w:tcW w:w="2235" w:type="dxa"/>
            <w:tcBorders>
              <w:top w:val="single" w:color="000000" w:sz="4" w:space="0"/>
              <w:left w:val="single" w:color="000000" w:sz="8" w:space="0"/>
              <w:bottom w:val="single" w:color="000000" w:sz="4" w:space="0"/>
              <w:right w:val="single" w:color="000000" w:sz="4" w:space="0"/>
            </w:tcBorders>
            <w:vAlign w:val="center"/>
          </w:tcPr>
          <w:p w14:paraId="3F9A7172">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FF0000"/>
                <w:sz w:val="18"/>
                <w:szCs w:val="18"/>
              </w:rPr>
              <w:t>*</w:t>
            </w:r>
            <w:r>
              <w:rPr>
                <w:rFonts w:hint="eastAsia" w:ascii="微软雅黑" w:hAnsi="微软雅黑" w:eastAsia="微软雅黑"/>
                <w:color w:val="000000"/>
                <w:sz w:val="18"/>
                <w:szCs w:val="18"/>
              </w:rPr>
              <w:t>专利保护的目的</w:t>
            </w:r>
          </w:p>
          <w:p w14:paraId="22FEF450">
            <w:pPr>
              <w:autoSpaceDN w:val="0"/>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w:t>
            </w: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双击选中，可多选）</w:t>
            </w:r>
          </w:p>
        </w:tc>
        <w:tc>
          <w:tcPr>
            <w:tcW w:w="6541" w:type="dxa"/>
            <w:gridSpan w:val="3"/>
            <w:tcBorders>
              <w:top w:val="single" w:color="000000" w:sz="4" w:space="0"/>
              <w:left w:val="single" w:color="000000" w:sz="4" w:space="0"/>
              <w:bottom w:val="single" w:color="000000" w:sz="4" w:space="0"/>
              <w:right w:val="single" w:color="000000" w:sz="8" w:space="0"/>
            </w:tcBorders>
            <w:vAlign w:val="center"/>
          </w:tcPr>
          <w:p w14:paraId="29EF68FF">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标准技术相关</w:t>
            </w:r>
            <w:r>
              <w:rPr>
                <w:rFonts w:ascii="微软雅黑" w:hAnsi="微软雅黑" w:eastAsia="微软雅黑"/>
                <w:color w:val="000000"/>
                <w:sz w:val="18"/>
                <w:szCs w:val="18"/>
                <w:u w:val="single"/>
              </w:rPr>
              <w:t xml:space="preserve">                              ;</w:t>
            </w:r>
          </w:p>
          <w:p w14:paraId="609BC07F">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维权目的相关</w:t>
            </w:r>
            <w:r>
              <w:rPr>
                <w:rFonts w:ascii="微软雅黑" w:hAnsi="微软雅黑" w:eastAsia="微软雅黑"/>
                <w:color w:val="000000"/>
                <w:sz w:val="18"/>
                <w:szCs w:val="18"/>
                <w:u w:val="single"/>
              </w:rPr>
              <w:t xml:space="preserve">                          ;</w:t>
            </w:r>
          </w:p>
          <w:p w14:paraId="5234BB60">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原创产品功能或技术</w:t>
            </w:r>
          </w:p>
          <w:p w14:paraId="4C0539A6">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奖项申报专利相关</w:t>
            </w:r>
          </w:p>
          <w:p w14:paraId="7F818518">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合同交付相关</w:t>
            </w:r>
          </w:p>
          <w:p w14:paraId="26DBEA39">
            <w:pPr>
              <w:autoSpaceDN w:val="0"/>
              <w:spacing w:line="276" w:lineRule="auto"/>
              <w:jc w:val="left"/>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fldChar w:fldCharType="begin">
                <w:ffData>
                  <w:enabled/>
                  <w:calcOnExit w:val="0"/>
                  <w:checkBox>
                    <w:size w:val="12"/>
                    <w:default w:val="1"/>
                    <w:checked/>
                  </w:checkBox>
                </w:ffData>
              </w:fldChar>
            </w:r>
            <w:r>
              <w:rPr>
                <w:rFonts w:hint="eastAsia" w:ascii="微软雅黑" w:hAnsi="微软雅黑" w:eastAsia="微软雅黑"/>
                <w:color w:val="000000"/>
                <w:sz w:val="18"/>
                <w:szCs w:val="18"/>
              </w:rPr>
              <w:instrText xml:space="preserve"> </w:instrText>
            </w:r>
            <w:r>
              <w:rPr>
                <w:rFonts w:ascii="微软雅黑" w:hAnsi="微软雅黑" w:eastAsia="微软雅黑"/>
                <w:color w:val="000000"/>
                <w:sz w:val="18"/>
                <w:szCs w:val="18"/>
              </w:rPr>
              <w:instrText xml:space="preserve">FORMCHECKBOX</w:instrText>
            </w:r>
            <w:r>
              <w:rPr>
                <w:rFonts w:hint="eastAsia" w:ascii="微软雅黑" w:hAnsi="微软雅黑" w:eastAsia="微软雅黑"/>
                <w:color w:val="000000"/>
                <w:sz w:val="18"/>
                <w:szCs w:val="18"/>
              </w:rPr>
              <w:instrText xml:space="preserve"> </w:instrText>
            </w:r>
            <w:r>
              <w:rPr>
                <w:rFonts w:hint="eastAsia" w:ascii="微软雅黑" w:hAnsi="微软雅黑" w:eastAsia="微软雅黑"/>
                <w:color w:val="000000"/>
                <w:sz w:val="18"/>
                <w:szCs w:val="18"/>
              </w:rPr>
              <w:fldChar w:fldCharType="separate"/>
            </w:r>
            <w:r>
              <w:rPr>
                <w:rFonts w:hint="eastAsia" w:ascii="微软雅黑" w:hAnsi="微软雅黑" w:eastAsia="微软雅黑"/>
                <w:color w:val="000000"/>
                <w:sz w:val="18"/>
                <w:szCs w:val="18"/>
              </w:rPr>
              <w:fldChar w:fldCharType="end"/>
            </w:r>
            <w:r>
              <w:rPr>
                <w:rFonts w:hint="eastAsia" w:ascii="微软雅黑" w:hAnsi="微软雅黑" w:eastAsia="微软雅黑"/>
                <w:color w:val="000000"/>
                <w:sz w:val="18"/>
                <w:szCs w:val="18"/>
              </w:rPr>
              <w:t>功能或技术改进</w:t>
            </w:r>
          </w:p>
          <w:p w14:paraId="5DB553F6">
            <w:pPr>
              <w:autoSpaceDN w:val="0"/>
              <w:spacing w:line="276" w:lineRule="auto"/>
              <w:jc w:val="left"/>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fldChar w:fldCharType="begin">
                <w:ffData>
                  <w:enabled/>
                  <w:calcOnExit w:val="0"/>
                  <w:checkBox>
                    <w:size w:val="12"/>
                    <w:default w:val="0"/>
                    <w:checked w:val="0"/>
                  </w:checkBox>
                </w:ffData>
              </w:fldChar>
            </w:r>
            <w:r>
              <w:rPr>
                <w:rFonts w:ascii="微软雅黑" w:hAnsi="微软雅黑" w:eastAsia="微软雅黑"/>
                <w:color w:val="000000"/>
                <w:sz w:val="18"/>
                <w:szCs w:val="18"/>
              </w:rPr>
              <w:instrText xml:space="preserve"> FORMCHECKBOX </w:instrText>
            </w:r>
            <w:r>
              <w:rPr>
                <w:rFonts w:hint="eastAsia" w:ascii="微软雅黑" w:hAnsi="微软雅黑" w:eastAsia="微软雅黑"/>
                <w:color w:val="000000"/>
                <w:sz w:val="18"/>
                <w:szCs w:val="18"/>
              </w:rPr>
              <w:fldChar w:fldCharType="separate"/>
            </w:r>
            <w:r>
              <w:rPr>
                <w:rFonts w:ascii="微软雅黑" w:hAnsi="微软雅黑" w:eastAsia="微软雅黑"/>
                <w:color w:val="000000"/>
                <w:sz w:val="18"/>
                <w:szCs w:val="18"/>
              </w:rPr>
              <w:fldChar w:fldCharType="end"/>
            </w:r>
            <w:r>
              <w:rPr>
                <w:rFonts w:hint="eastAsia" w:ascii="微软雅黑" w:hAnsi="微软雅黑" w:eastAsia="微软雅黑"/>
                <w:color w:val="000000"/>
                <w:sz w:val="18"/>
                <w:szCs w:val="18"/>
              </w:rPr>
              <w:t>其他</w:t>
            </w:r>
          </w:p>
        </w:tc>
      </w:tr>
    </w:tbl>
    <w:p w14:paraId="4034D7E9">
      <w:pPr>
        <w:ind w:firstLine="360" w:firstLineChars="200"/>
        <w:rPr>
          <w:rFonts w:hint="eastAsia" w:ascii="微软雅黑" w:hAnsi="微软雅黑" w:eastAsia="微软雅黑"/>
          <w:b/>
          <w:bCs/>
          <w:color w:val="000000"/>
          <w:sz w:val="18"/>
          <w:szCs w:val="18"/>
        </w:rPr>
      </w:pPr>
      <w:bookmarkStart w:id="0" w:name="_Hlk533691270"/>
    </w:p>
    <w:p w14:paraId="464BEA0C">
      <w:pPr>
        <w:ind w:firstLine="360" w:firstLineChars="200"/>
        <w:rPr>
          <w:rFonts w:hint="eastAsia" w:ascii="微软雅黑" w:hAnsi="微软雅黑" w:eastAsia="微软雅黑"/>
          <w:b/>
          <w:bCs/>
          <w:color w:val="000000"/>
          <w:sz w:val="18"/>
          <w:szCs w:val="18"/>
        </w:rPr>
      </w:pPr>
      <w:r>
        <w:rPr>
          <w:rFonts w:hint="eastAsia" w:ascii="微软雅黑" w:hAnsi="微软雅黑" w:eastAsia="微软雅黑"/>
          <w:b/>
          <w:bCs/>
          <w:color w:val="000000"/>
          <w:sz w:val="18"/>
          <w:szCs w:val="18"/>
        </w:rPr>
        <w:t>重要提醒（预计阅读时间</w:t>
      </w:r>
      <w:r>
        <w:rPr>
          <w:rFonts w:ascii="微软雅黑" w:hAnsi="微软雅黑" w:eastAsia="微软雅黑"/>
          <w:b/>
          <w:bCs/>
          <w:color w:val="000000"/>
          <w:sz w:val="18"/>
          <w:szCs w:val="18"/>
        </w:rPr>
        <w:t>2</w:t>
      </w:r>
      <w:r>
        <w:rPr>
          <w:rFonts w:hint="eastAsia" w:ascii="微软雅黑" w:hAnsi="微软雅黑" w:eastAsia="微软雅黑"/>
          <w:b/>
          <w:bCs/>
          <w:color w:val="000000"/>
          <w:sz w:val="18"/>
          <w:szCs w:val="18"/>
        </w:rPr>
        <w:t>分钟，提交立项时可删除蓝色字体部份）：</w:t>
      </w:r>
    </w:p>
    <w:p w14:paraId="695EB77B">
      <w:pPr>
        <w:ind w:firstLine="360" w:firstLineChars="200"/>
        <w:rPr>
          <w:rFonts w:hint="eastAsia" w:ascii="微软雅黑" w:hAnsi="微软雅黑" w:eastAsia="微软雅黑"/>
          <w:b/>
          <w:bCs/>
          <w:color w:val="000000"/>
          <w:sz w:val="18"/>
          <w:szCs w:val="18"/>
        </w:rPr>
      </w:pPr>
      <w:r>
        <w:rPr>
          <w:rFonts w:hint="eastAsia" w:ascii="微软雅黑" w:hAnsi="微软雅黑" w:eastAsia="微软雅黑"/>
          <w:b/>
          <w:bCs/>
          <w:color w:val="000000"/>
          <w:sz w:val="18"/>
          <w:szCs w:val="18"/>
        </w:rPr>
        <w:t>1、诚实信用原则：</w:t>
      </w:r>
      <w:r>
        <w:rPr>
          <w:rFonts w:hint="eastAsia" w:ascii="微软雅黑" w:hAnsi="微软雅黑" w:eastAsia="微软雅黑"/>
          <w:color w:val="000000"/>
          <w:sz w:val="18"/>
          <w:szCs w:val="18"/>
        </w:rPr>
        <w:t>请确保此前发明人没有就相同的技术方案提交过专利，同时确保交底书中涉及的技术方案不是现有技术（对现有技术的改进不包含在内）。</w:t>
      </w:r>
    </w:p>
    <w:p w14:paraId="71B1E3D0">
      <w:pPr>
        <w:ind w:firstLine="360" w:firstLineChars="200"/>
        <w:rPr>
          <w:rFonts w:hint="eastAsia" w:ascii="微软雅黑" w:hAnsi="微软雅黑" w:eastAsia="微软雅黑"/>
          <w:b/>
          <w:bCs/>
          <w:color w:val="000000"/>
          <w:sz w:val="18"/>
          <w:szCs w:val="18"/>
        </w:rPr>
      </w:pPr>
      <w:r>
        <w:rPr>
          <w:rFonts w:ascii="微软雅黑" w:hAnsi="微软雅黑" w:eastAsia="微软雅黑"/>
          <w:b/>
          <w:bCs/>
          <w:color w:val="000000"/>
          <w:sz w:val="18"/>
          <w:szCs w:val="18"/>
        </w:rPr>
        <w:t>2</w:t>
      </w:r>
      <w:r>
        <w:rPr>
          <w:rFonts w:hint="eastAsia" w:ascii="微软雅黑" w:hAnsi="微软雅黑" w:eastAsia="微软雅黑"/>
          <w:b/>
          <w:bCs/>
          <w:color w:val="000000"/>
          <w:sz w:val="18"/>
          <w:szCs w:val="18"/>
        </w:rPr>
        <w:t>、交底书需清楚完整：</w:t>
      </w:r>
      <w:r>
        <w:rPr>
          <w:rFonts w:hint="eastAsia" w:ascii="微软雅黑" w:hAnsi="微软雅黑" w:eastAsia="微软雅黑"/>
          <w:color w:val="000000"/>
          <w:sz w:val="18"/>
          <w:szCs w:val="18"/>
        </w:rPr>
        <w:t>请详细且清楚地撰写本技术交底书：</w:t>
      </w:r>
    </w:p>
    <w:p w14:paraId="507DA59D">
      <w:pPr>
        <w:ind w:firstLine="360" w:firstLineChars="200"/>
        <w:rPr>
          <w:rFonts w:hint="eastAsia" w:ascii="微软雅黑" w:hAnsi="微软雅黑" w:eastAsia="微软雅黑"/>
          <w:color w:val="000000"/>
          <w:sz w:val="18"/>
          <w:szCs w:val="18"/>
        </w:rPr>
      </w:pPr>
      <w:r>
        <w:rPr>
          <w:rFonts w:hint="eastAsia" w:ascii="微软雅黑" w:hAnsi="微软雅黑" w:eastAsia="微软雅黑"/>
          <w:color w:val="000000"/>
          <w:sz w:val="18"/>
          <w:szCs w:val="18"/>
        </w:rPr>
        <w:t>有产品功能或交互表现的方案：在产品侧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7F474608">
      <w:pPr>
        <w:ind w:firstLine="360" w:firstLineChars="200"/>
        <w:rPr>
          <w:rFonts w:hint="eastAsia" w:ascii="微软雅黑" w:hAnsi="微软雅黑" w:eastAsia="微软雅黑"/>
          <w:color w:val="000000"/>
          <w:sz w:val="18"/>
          <w:szCs w:val="18"/>
        </w:rPr>
      </w:pPr>
      <w:r>
        <w:rPr>
          <w:rFonts w:hint="eastAsia" w:ascii="微软雅黑" w:hAnsi="微软雅黑" w:eastAsia="微软雅黑"/>
          <w:color w:val="000000"/>
          <w:sz w:val="18"/>
          <w:szCs w:val="18"/>
        </w:rPr>
        <w:t>对于产品表现不明显的方案：在产品侧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p>
    <w:p w14:paraId="6C56A47A">
      <w:pPr>
        <w:ind w:firstLine="360" w:firstLineChars="200"/>
        <w:rPr>
          <w:rFonts w:hint="eastAsia" w:ascii="微软雅黑" w:hAnsi="微软雅黑" w:eastAsia="微软雅黑"/>
          <w:color w:val="000000"/>
          <w:sz w:val="18"/>
          <w:szCs w:val="18"/>
        </w:rPr>
      </w:pPr>
      <w:r>
        <w:rPr>
          <w:rFonts w:ascii="微软雅黑" w:hAnsi="微软雅黑" w:eastAsia="微软雅黑"/>
          <w:color w:val="000000"/>
          <w:sz w:val="18"/>
          <w:szCs w:val="18"/>
        </w:rPr>
        <w:t>3</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交底书需未对外公开：</w:t>
      </w:r>
      <w:r>
        <w:rPr>
          <w:rFonts w:hint="eastAsia" w:ascii="微软雅黑" w:hAnsi="微软雅黑" w:eastAsia="微软雅黑"/>
          <w:color w:val="000000"/>
          <w:sz w:val="18"/>
          <w:szCs w:val="18"/>
        </w:rPr>
        <w:t>本交底书记载的产品或技术方案需要确保没有对外公开过， 如对外发布产品、公测产品、发表论文、对外宣传、开源、提交标准提案等，如果在提交专利立项之后有发布预期，需要填写未来对外发布时间。</w:t>
      </w:r>
    </w:p>
    <w:p w14:paraId="52F0DB06">
      <w:pPr>
        <w:ind w:firstLine="360" w:firstLineChars="200"/>
        <w:rPr>
          <w:rFonts w:hint="eastAsia" w:ascii="微软雅黑" w:hAnsi="微软雅黑" w:eastAsia="微软雅黑"/>
          <w:b/>
          <w:bCs/>
          <w:color w:val="000000"/>
          <w:sz w:val="18"/>
          <w:szCs w:val="18"/>
        </w:rPr>
      </w:pPr>
      <w:r>
        <w:rPr>
          <w:rFonts w:ascii="微软雅黑" w:hAnsi="微软雅黑" w:eastAsia="微软雅黑"/>
          <w:color w:val="000000"/>
          <w:sz w:val="18"/>
          <w:szCs w:val="18"/>
        </w:rPr>
        <w:t>4</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填写注意事项：</w:t>
      </w:r>
      <w:r>
        <w:rPr>
          <w:rFonts w:hint="eastAsia" w:ascii="微软雅黑" w:hAnsi="微软雅黑" w:eastAsia="微软雅黑"/>
          <w:color w:val="000000"/>
          <w:sz w:val="18"/>
          <w:szCs w:val="18"/>
        </w:rPr>
        <w:t>撰写交底书过程中如有不清楚之处，一方面可以参考相关示范（点击相关链接查看腾讯文档），另一方面也可以咨询部门的对接专利工程师（点击</w:t>
      </w:r>
      <w:r>
        <w:fldChar w:fldCharType="begin"/>
      </w:r>
      <w:r>
        <w:instrText xml:space="preserve">HYPERLINK "https://patent.woa.com"</w:instrText>
      </w:r>
      <w:r>
        <w:fldChar w:fldCharType="separate"/>
      </w:r>
      <w:r>
        <w:rPr>
          <w:rStyle w:val="14"/>
          <w:rFonts w:ascii="微软雅黑" w:hAnsi="微软雅黑" w:eastAsia="微软雅黑"/>
          <w:sz w:val="18"/>
          <w:szCs w:val="18"/>
        </w:rPr>
        <w:t>https://patent.woa.com</w:t>
      </w:r>
      <w:r>
        <w:fldChar w:fldCharType="end"/>
      </w:r>
      <w:r>
        <w:rPr>
          <w:rFonts w:hint="eastAsia" w:ascii="微软雅黑" w:hAnsi="微软雅黑" w:eastAsia="微软雅黑"/>
          <w:color w:val="000000"/>
          <w:sz w:val="18"/>
          <w:szCs w:val="18"/>
        </w:rPr>
        <w:t>查看对接专利工程师的企业微信）。</w:t>
      </w:r>
    </w:p>
    <w:p w14:paraId="7D0F5502">
      <w:pPr>
        <w:rPr>
          <w:rFonts w:hint="eastAsia" w:ascii="微软雅黑" w:hAnsi="微软雅黑" w:eastAsia="微软雅黑"/>
          <w:color w:val="000000"/>
          <w:sz w:val="18"/>
          <w:szCs w:val="18"/>
        </w:rPr>
      </w:pPr>
    </w:p>
    <w:bookmarkEnd w:id="0"/>
    <w:p w14:paraId="503D3A24">
      <w:pPr>
        <w:ind w:firstLine="420" w:firstLineChars="200"/>
        <w:jc w:val="center"/>
        <w:rPr>
          <w:rFonts w:hint="eastAsia" w:ascii="微软雅黑" w:hAnsi="微软雅黑" w:eastAsia="微软雅黑"/>
          <w:b/>
          <w:bCs/>
          <w:szCs w:val="21"/>
        </w:rPr>
      </w:pPr>
      <w:r>
        <w:rPr>
          <w:rFonts w:ascii="微软雅黑" w:hAnsi="微软雅黑" w:eastAsia="微软雅黑"/>
          <w:b/>
          <w:bCs/>
          <w:szCs w:val="21"/>
        </w:rPr>
        <w:br w:type="page"/>
      </w:r>
      <w:r>
        <w:rPr>
          <w:rFonts w:hint="eastAsia" w:ascii="微软雅黑" w:hAnsi="微软雅黑" w:eastAsia="微软雅黑"/>
          <w:b/>
          <w:bCs/>
          <w:szCs w:val="21"/>
        </w:rPr>
        <w:t>专利交底书正文</w:t>
      </w:r>
    </w:p>
    <w:p w14:paraId="57EC6034">
      <w:pPr>
        <w:ind w:firstLine="420" w:firstLineChars="200"/>
        <w:jc w:val="center"/>
        <w:rPr>
          <w:rFonts w:hint="eastAsia" w:ascii="微软雅黑" w:hAnsi="微软雅黑" w:eastAsia="微软雅黑"/>
          <w:b/>
          <w:bCs/>
          <w:sz w:val="18"/>
          <w:szCs w:val="18"/>
        </w:rPr>
      </w:pPr>
      <w:r>
        <w:fldChar w:fldCharType="begin"/>
      </w:r>
      <w:r>
        <w:instrText xml:space="preserve"> HYPERLINK "https://doc.weixin.qq.com/doc/w3_AO4AXgbdAFwgt7a2VHISmmw3NXwIl?scode=AJEAIQdfAAoImYTNQjAO4AXgbdAFw" </w:instrText>
      </w:r>
      <w:r>
        <w:fldChar w:fldCharType="separate"/>
      </w:r>
      <w:r>
        <w:rPr>
          <w:rStyle w:val="14"/>
          <w:rFonts w:hint="eastAsia" w:ascii="微软雅黑" w:hAnsi="微软雅黑" w:eastAsia="微软雅黑"/>
          <w:b/>
          <w:bCs/>
          <w:sz w:val="18"/>
          <w:szCs w:val="18"/>
        </w:rPr>
        <w:t>（</w:t>
      </w:r>
      <w:r>
        <w:rPr>
          <w:rStyle w:val="14"/>
          <w:rFonts w:hint="eastAsia" w:ascii="Apple Color Emoji" w:hAnsi="Apple Color Emoji" w:eastAsia="Apple Color Emoji" w:cs="Apple Color Emoji"/>
          <w:b/>
          <w:bCs/>
          <w:sz w:val="18"/>
          <w:szCs w:val="18"/>
        </w:rPr>
        <w:t>👉</w:t>
      </w:r>
      <w:r>
        <w:rPr>
          <w:rStyle w:val="14"/>
          <w:rFonts w:hint="eastAsia" w:ascii="微软雅黑" w:hAnsi="微软雅黑" w:eastAsia="微软雅黑"/>
          <w:b/>
          <w:bCs/>
          <w:sz w:val="18"/>
          <w:szCs w:val="18"/>
        </w:rPr>
        <w:t>戳此处查看交底书撰写示范）</w:t>
      </w:r>
      <w:r>
        <w:rPr>
          <w:rStyle w:val="14"/>
          <w:rFonts w:hint="eastAsia" w:ascii="微软雅黑" w:hAnsi="微软雅黑" w:eastAsia="微软雅黑"/>
          <w:b/>
          <w:bCs/>
          <w:sz w:val="18"/>
          <w:szCs w:val="18"/>
        </w:rPr>
        <w:fldChar w:fldCharType="end"/>
      </w:r>
    </w:p>
    <w:p w14:paraId="22337EAA">
      <w:pPr>
        <w:ind w:firstLine="360" w:firstLineChars="200"/>
        <w:jc w:val="center"/>
        <w:rPr>
          <w:rFonts w:hint="eastAsia" w:ascii="微软雅黑" w:hAnsi="微软雅黑" w:eastAsia="微软雅黑"/>
          <w:b/>
          <w:bCs/>
          <w:sz w:val="18"/>
          <w:szCs w:val="18"/>
        </w:rPr>
      </w:pPr>
    </w:p>
    <w:p w14:paraId="2C8EF615">
      <w:pPr>
        <w:spacing w:line="276" w:lineRule="auto"/>
        <w:rPr>
          <w:rFonts w:hint="eastAsia" w:ascii="微软雅黑" w:hAnsi="微软雅黑" w:eastAsia="微软雅黑"/>
          <w:sz w:val="18"/>
          <w:szCs w:val="18"/>
        </w:rPr>
      </w:pPr>
    </w:p>
    <w:p w14:paraId="0383518F">
      <w:pPr>
        <w:spacing w:line="276" w:lineRule="auto"/>
        <w:rPr>
          <w:rFonts w:hint="eastAsia" w:ascii="微软雅黑" w:hAnsi="微软雅黑" w:eastAsia="微软雅黑"/>
          <w:sz w:val="18"/>
          <w:szCs w:val="18"/>
        </w:rPr>
      </w:pPr>
      <w:r>
        <w:rPr>
          <w:rFonts w:hint="eastAsia" w:ascii="微软雅黑" w:hAnsi="微软雅黑" w:eastAsia="微软雅黑"/>
          <w:sz w:val="18"/>
          <w:szCs w:val="18"/>
        </w:rPr>
        <w:t>1、</w:t>
      </w:r>
      <w:r>
        <w:rPr>
          <w:rFonts w:hint="eastAsia" w:ascii="微软雅黑" w:hAnsi="微软雅黑" w:eastAsia="微软雅黑"/>
          <w:b/>
          <w:bCs/>
          <w:sz w:val="18"/>
          <w:szCs w:val="18"/>
        </w:rPr>
        <w:t>【关键术语】</w:t>
      </w:r>
      <w:r>
        <w:rPr>
          <w:rFonts w:hint="eastAsia" w:ascii="微软雅黑" w:hAnsi="微软雅黑" w:eastAsia="微软雅黑"/>
          <w:sz w:val="18"/>
          <w:szCs w:val="18"/>
        </w:rPr>
        <w:t>本发明涉及到的关键术语和定义</w:t>
      </w:r>
    </w:p>
    <w:p w14:paraId="5FDC8AD4">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GT（Ground Truth，真值标注）：</w:t>
      </w:r>
      <w:r>
        <w:rPr>
          <w:rFonts w:ascii="微软雅黑" w:hAnsi="微软雅黑" w:eastAsia="微软雅黑"/>
          <w:sz w:val="18"/>
          <w:szCs w:val="18"/>
        </w:rPr>
        <w:t>监督训练或质量评估中所用的标准答案数据，通常由人工标注产生。</w:t>
      </w:r>
    </w:p>
    <w:p w14:paraId="2AC6C37B">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无GT评估（GT-Free Evaluation）：</w:t>
      </w:r>
      <w:r>
        <w:rPr>
          <w:rFonts w:ascii="微软雅黑" w:hAnsi="微软雅黑" w:eastAsia="微软雅黑"/>
          <w:sz w:val="18"/>
          <w:szCs w:val="18"/>
        </w:rPr>
        <w:t>缺少人工真值标注时，仅依赖规则、约束或统计模型对质量进行自动判断的方法体系。</w:t>
      </w:r>
    </w:p>
    <w:p w14:paraId="2645FEB5">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蒙皮结果（Skinning Output）：</w:t>
      </w:r>
      <w:r>
        <w:rPr>
          <w:rFonts w:ascii="微软雅黑" w:hAnsi="微软雅黑" w:eastAsia="微软雅黑"/>
          <w:sz w:val="18"/>
          <w:szCs w:val="18"/>
        </w:rPr>
        <w:t>由骨骼变换和顶点权重驱动得到的网格顶点序列或单帧形变结果。</w:t>
      </w:r>
    </w:p>
    <w:p w14:paraId="664921FF">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指标插件（Metric Plugin）：</w:t>
      </w:r>
      <w:r>
        <w:rPr>
          <w:rFonts w:ascii="微软雅黑" w:hAnsi="微软雅黑" w:eastAsia="微软雅黑"/>
          <w:sz w:val="18"/>
          <w:szCs w:val="18"/>
        </w:rPr>
        <w:t>可插拔的质量计算单元，接受蒙皮数据输入，输出单项质量分数和定位信息，支持按项目启停与权重配置。</w:t>
      </w:r>
    </w:p>
    <w:p w14:paraId="1EAA0EFA">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异常样本（Anomalous Sample）：</w:t>
      </w:r>
      <w:r>
        <w:rPr>
          <w:rFonts w:ascii="微软雅黑" w:hAnsi="微软雅黑" w:eastAsia="微软雅黑"/>
          <w:sz w:val="18"/>
          <w:szCs w:val="18"/>
        </w:rPr>
        <w:t>在穿插、粘连、共线、能量突变、边界抖动等一项或多项指标上超过阈值的蒙皮结果。</w:t>
      </w:r>
    </w:p>
    <w:p w14:paraId="7D0D5067">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质量闸门（Quality Gate）：</w:t>
      </w:r>
      <w:r>
        <w:rPr>
          <w:rFonts w:ascii="微软雅黑" w:hAnsi="微软雅黑" w:eastAsia="微软雅黑"/>
          <w:sz w:val="18"/>
          <w:szCs w:val="18"/>
        </w:rPr>
        <w:t>在资产入库、训练数据入集或模型发布前执行的自动拦截与分级处理机制。</w:t>
      </w:r>
    </w:p>
    <w:p w14:paraId="02D2797B">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数据闭环（Data Loop）：</w:t>
      </w:r>
      <w:r>
        <w:rPr>
          <w:rFonts w:ascii="微软雅黑" w:hAnsi="微软雅黑" w:eastAsia="微软雅黑"/>
          <w:sz w:val="18"/>
          <w:szCs w:val="18"/>
        </w:rPr>
        <w:t>由评估、筛选、清洗、再训练、回归验证组成的自动循环流程。</w:t>
      </w:r>
    </w:p>
    <w:p w14:paraId="5F8B131D">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难例挖掘（Hard Example Mining）：</w:t>
      </w:r>
      <w:r>
        <w:rPr>
          <w:rFonts w:ascii="微软雅黑" w:hAnsi="微软雅黑" w:eastAsia="微软雅黑"/>
          <w:sz w:val="18"/>
          <w:szCs w:val="18"/>
        </w:rPr>
        <w:t>从高频或高严重度异常样本中优先抽取高价值样本，用于定向微调。</w:t>
      </w:r>
    </w:p>
    <w:p w14:paraId="7569188D">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连通域定位（Connected Component Localization）：</w:t>
      </w:r>
      <w:r>
        <w:rPr>
          <w:rFonts w:ascii="微软雅黑" w:hAnsi="微软雅黑" w:eastAsia="微软雅黑"/>
          <w:sz w:val="18"/>
          <w:szCs w:val="18"/>
        </w:rPr>
        <w:t>将超阈值异常顶点或面片在拓扑上聚类为连续区域，输出区域级定位结果。</w:t>
      </w:r>
    </w:p>
    <w:p w14:paraId="5BDFC1F9">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版本回归（Version Regression）：</w:t>
      </w:r>
      <w:r>
        <w:rPr>
          <w:rFonts w:ascii="微软雅黑" w:hAnsi="微软雅黑" w:eastAsia="微软雅黑"/>
          <w:sz w:val="18"/>
          <w:szCs w:val="18"/>
        </w:rPr>
        <w:t>对比模型新旧版本或规则新旧配置下关键指标分布，用于发现质量退化并阻断风险发布。</w:t>
      </w:r>
    </w:p>
    <w:p w14:paraId="322144E6">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自适应阈值（Adaptive Threshold）：</w:t>
      </w:r>
      <w:r>
        <w:rPr>
          <w:rFonts w:ascii="微软雅黑" w:hAnsi="微软雅黑" w:eastAsia="微软雅黑"/>
          <w:sz w:val="18"/>
          <w:szCs w:val="18"/>
        </w:rPr>
        <w:t>根据样本分布或部位差异动态调整的异常判定阈值，跨角色迁移性优于固定阈值。</w:t>
      </w:r>
    </w:p>
    <w:p w14:paraId="415D046B">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聚合策略（Aggregation Strategy）：</w:t>
      </w:r>
      <w:r>
        <w:rPr>
          <w:rFonts w:ascii="微软雅黑" w:hAnsi="微软雅黑" w:eastAsia="微软雅黑"/>
          <w:sz w:val="18"/>
          <w:szCs w:val="18"/>
        </w:rPr>
        <w:t>将多项指标分数整合为总分的方法，包括加权求和、规则树门控、投票机制等。</w:t>
      </w:r>
    </w:p>
    <w:p w14:paraId="287F670C">
      <w:pPr>
        <w:spacing w:line="276" w:lineRule="auto"/>
        <w:rPr>
          <w:rFonts w:hint="eastAsia" w:ascii="微软雅黑" w:hAnsi="微软雅黑" w:eastAsia="微软雅黑"/>
          <w:sz w:val="18"/>
          <w:szCs w:val="18"/>
        </w:rPr>
      </w:pPr>
      <w:r>
        <w:rPr>
          <w:rFonts w:ascii="微软雅黑" w:hAnsi="微软雅黑" w:eastAsia="微软雅黑"/>
          <w:sz w:val="18"/>
          <w:szCs w:val="18"/>
        </w:rPr>
        <w:t>2</w:t>
      </w:r>
      <w:r>
        <w:rPr>
          <w:rFonts w:hint="eastAsia" w:ascii="微软雅黑" w:hAnsi="微软雅黑" w:eastAsia="微软雅黑"/>
          <w:sz w:val="18"/>
          <w:szCs w:val="18"/>
        </w:rPr>
        <w:t>、</w:t>
      </w:r>
      <w:r>
        <w:rPr>
          <w:rFonts w:hint="eastAsia" w:ascii="微软雅黑" w:hAnsi="微软雅黑" w:eastAsia="微软雅黑"/>
          <w:b/>
          <w:bCs/>
          <w:sz w:val="18"/>
          <w:szCs w:val="18"/>
        </w:rPr>
        <w:t>【发明构思】</w:t>
      </w:r>
      <w:r>
        <w:rPr>
          <w:rFonts w:hint="eastAsia" w:ascii="微软雅黑" w:hAnsi="微软雅黑" w:eastAsia="微软雅黑"/>
          <w:sz w:val="18"/>
          <w:szCs w:val="18"/>
        </w:rPr>
        <w:t>本发明涉及到的技术关键点或功能关键点介绍</w:t>
      </w:r>
      <w:r>
        <w:rPr>
          <w:rFonts w:hint="eastAsia" w:ascii="微软雅黑" w:hAnsi="微软雅黑" w:eastAsia="微软雅黑"/>
          <w:color w:val="FF0000"/>
          <w:sz w:val="18"/>
          <w:szCs w:val="18"/>
        </w:rPr>
        <w:t>（必填）</w:t>
      </w:r>
    </w:p>
    <w:p w14:paraId="3AA0F99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本发明面向三维角色动画生产中的蒙皮质量治理问题，提出一种"无GT物理规则自动评估</w:t>
      </w:r>
      <w:r>
        <w:commentReference w:id="0"/>
      </w:r>
      <w:commentRangeStart w:id="21"/>
      <w:commentRangeEnd w:id="21"/>
      <w:r>
        <w:commentReference w:id="21"/>
      </w:r>
      <w:r>
        <w:rPr>
          <w:rFonts w:ascii="微软雅黑" w:hAnsi="微软雅黑" w:eastAsia="微软雅黑"/>
          <w:sz w:val="18"/>
          <w:szCs w:val="18"/>
        </w:rPr>
        <w:t xml:space="preserve"> + 数据闭环构建"的平台化技术方案。该方案的核心不是某单一检测指标，而是"多指标评估引擎、异常定位与分类、自动清洗重加权、</w:t>
      </w:r>
      <w:commentRangeStart w:id="1"/>
      <w:r>
        <w:rPr>
          <w:rFonts w:ascii="微软雅黑" w:hAnsi="微软雅黑" w:eastAsia="微软雅黑"/>
          <w:sz w:val="18"/>
          <w:szCs w:val="18"/>
        </w:rPr>
        <w:t>训练联动</w:t>
      </w:r>
      <w:commentRangeEnd w:id="1"/>
      <w:r>
        <w:commentReference w:id="1"/>
      </w:r>
      <w:commentRangeStart w:id="22"/>
      <w:commentRangeEnd w:id="22"/>
      <w:r>
        <w:commentReference w:id="22"/>
      </w:r>
      <w:r>
        <w:rPr>
          <w:rFonts w:ascii="微软雅黑" w:hAnsi="微软雅黑" w:eastAsia="微软雅黑"/>
          <w:sz w:val="18"/>
          <w:szCs w:val="18"/>
        </w:rPr>
        <w:t>回归"四层闭环协同体系，在无需人工标注的前提下，实现蒙皮质量的自动化管控与持续改进。</w:t>
      </w:r>
    </w:p>
    <w:p w14:paraId="4C942BF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本发明欲保护的技术关键点包括以下六个协同层次：</w:t>
      </w:r>
    </w:p>
    <w:p w14:paraId="6B66695B">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关键点一：无GT多指标评估框架</w:t>
      </w:r>
    </w:p>
    <w:p w14:paraId="52E4B9B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无人工标注前提下，从几何（共线、形变）、拓扑（穿插、粘连）、运动学（速度连续性）和能量一致性（局部应变、边界抖动）多个维度构建可计算指标体系，对蒙皮结果进行多维度自动质量评分。各指标基于物理/几何规则推导，具备明确的数学定义与工程可实施性。</w:t>
      </w:r>
    </w:p>
    <w:p w14:paraId="2BB5DD2D">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关键点二：插件化指标架构</w:t>
      </w:r>
    </w:p>
    <w:p w14:paraId="7AF2E18F">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将各类指标设计为独立计算插件，插件间无强依赖，支持按项目需求启停、调整计算顺序、配置权重与版本，并允许新增指标而不影响已有流程稳定性。该架构使评估体系具备持续扩展能力。</w:t>
      </w:r>
    </w:p>
    <w:p w14:paraId="52C41F76">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关键点三：自适应阈值与多策略聚合</w:t>
      </w:r>
    </w:p>
    <w:p w14:paraId="48F7DD1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阈值策略支持固定阈值、分位数阈值和按部位自适应阈值三种模式，使阈值能够随数据分布自动适配不同角色类型、服装类别和动作范围。多指标聚合采用加权求和与门控惩罚相结合的机制，关键指标超强阈值时触发额外惩罚，防止总分掩盖局部严重异常。</w:t>
      </w:r>
    </w:p>
    <w:p w14:paraId="67E9926C">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关键点四：异常定位与可解释报告</w:t>
      </w:r>
    </w:p>
    <w:p w14:paraId="06A315A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评估结果支持从样本级分数下钻至</w:t>
      </w:r>
      <w:r>
        <w:rPr>
          <w:rFonts w:ascii="微软雅黑" w:hAnsi="微软雅黑" w:eastAsia="微软雅黑"/>
          <w:sz w:val="18"/>
          <w:szCs w:val="18"/>
          <w:highlight w:val="yellow"/>
        </w:rPr>
        <w:t>顶点/边/面/骨骼影响域的细粒度定位，通过连通域聚类</w:t>
      </w:r>
      <w:r>
        <w:rPr>
          <w:rFonts w:ascii="微软雅黑" w:hAnsi="微软雅黑" w:eastAsia="微软雅黑"/>
          <w:sz w:val="18"/>
          <w:szCs w:val="18"/>
        </w:rPr>
        <w:t>输出区域级定位结果，同时生成</w:t>
      </w:r>
      <w:r>
        <w:rPr>
          <w:rFonts w:ascii="微软雅黑" w:hAnsi="微软雅黑" w:eastAsia="微软雅黑"/>
          <w:sz w:val="18"/>
          <w:szCs w:val="18"/>
          <w:highlight w:val="yellow"/>
        </w:rPr>
        <w:t>异常类型、严重度、触发规则路径和建议处理动作</w:t>
      </w:r>
      <w:r>
        <w:rPr>
          <w:rFonts w:ascii="微软雅黑" w:hAnsi="微软雅黑" w:eastAsia="微软雅黑"/>
          <w:sz w:val="18"/>
          <w:szCs w:val="18"/>
        </w:rPr>
        <w:t>的可解释报告，便于美术和工程快速复查与定向修复。</w:t>
      </w:r>
    </w:p>
    <w:p w14:paraId="39814D2E">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关键点五：数据闭环联动执行</w:t>
      </w:r>
    </w:p>
    <w:p w14:paraId="307A9E1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按异常评级自动执行样本路由（保留/剔除/降权/</w:t>
      </w:r>
      <w:r>
        <w:rPr>
          <w:rFonts w:ascii="微软雅黑" w:hAnsi="微软雅黑" w:eastAsia="微软雅黑"/>
          <w:sz w:val="18"/>
          <w:szCs w:val="18"/>
          <w:highlight w:val="yellow"/>
        </w:rPr>
        <w:t>重采样</w:t>
      </w:r>
      <w:r>
        <w:rPr>
          <w:rFonts w:ascii="微软雅黑" w:hAnsi="微软雅黑" w:eastAsia="微软雅黑"/>
          <w:sz w:val="18"/>
          <w:szCs w:val="18"/>
        </w:rPr>
        <w:t>）与训练联动（难例入库、定向微调触发、损失调制），将质量评估结果直接转化为训练数据优化动作，形成评估—训练—评估的持续改进闭环。</w:t>
      </w:r>
    </w:p>
    <w:p w14:paraId="6B0F19DD">
      <w:pPr>
        <w:spacing w:line="276" w:lineRule="auto"/>
        <w:rPr>
          <w:rFonts w:hint="eastAsia" w:ascii="微软雅黑" w:hAnsi="微软雅黑" w:eastAsia="微软雅黑"/>
          <w:sz w:val="18"/>
          <w:szCs w:val="18"/>
        </w:rPr>
      </w:pPr>
      <w:r>
        <w:rPr>
          <w:rFonts w:ascii="微软雅黑" w:hAnsi="微软雅黑" w:eastAsia="微软雅黑"/>
          <w:b/>
          <w:bCs/>
          <w:sz w:val="18"/>
          <w:szCs w:val="18"/>
        </w:rPr>
        <w:t>关键点六：质量闸门化部署与版本回归</w:t>
      </w:r>
    </w:p>
    <w:p w14:paraId="3D6020C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将评估机制部署为三类标准闸门（资产入库闸门、训练数据闸门、模型发布闸门），并通过版本回归机制持续监控关键指标趋势，一旦新版本指标退化超过阈值，自动阻断发布或触发回滚，实现对生产质量的系统性保障。</w:t>
      </w:r>
    </w:p>
    <w:p w14:paraId="2BD5747D">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本发明强调"无GT场景也能稳定评估并持续改进"，将质量治理从"人工经验化"升级为"可执行、可追溯、可扩展"的工程系统。</w:t>
      </w:r>
    </w:p>
    <w:p w14:paraId="36E2BA39">
      <w:pPr>
        <w:spacing w:line="276" w:lineRule="auto"/>
        <w:rPr>
          <w:rFonts w:hint="eastAsia" w:ascii="微软雅黑" w:hAnsi="微软雅黑" w:eastAsia="微软雅黑"/>
          <w:sz w:val="18"/>
          <w:szCs w:val="18"/>
        </w:rPr>
      </w:pPr>
      <w:r>
        <w:rPr>
          <w:rFonts w:ascii="微软雅黑" w:hAnsi="微软雅黑" w:eastAsia="微软雅黑"/>
          <w:sz w:val="18"/>
          <w:szCs w:val="18"/>
        </w:rPr>
        <w:t>3</w:t>
      </w:r>
      <w:r>
        <w:rPr>
          <w:rFonts w:hint="eastAsia" w:ascii="微软雅黑" w:hAnsi="微软雅黑" w:eastAsia="微软雅黑"/>
          <w:sz w:val="18"/>
          <w:szCs w:val="18"/>
        </w:rPr>
        <w:t>、</w:t>
      </w:r>
      <w:r>
        <w:rPr>
          <w:rFonts w:hint="eastAsia" w:ascii="微软雅黑" w:hAnsi="微软雅黑" w:eastAsia="微软雅黑"/>
          <w:b/>
          <w:bCs/>
          <w:sz w:val="18"/>
          <w:szCs w:val="18"/>
        </w:rPr>
        <w:t>【背景技术】</w:t>
      </w:r>
      <w:r>
        <w:rPr>
          <w:rFonts w:hint="eastAsia" w:ascii="微软雅黑" w:hAnsi="微软雅黑" w:eastAsia="微软雅黑"/>
          <w:sz w:val="18"/>
          <w:szCs w:val="18"/>
        </w:rPr>
        <w:t>与本发明最相近的现有技术</w:t>
      </w:r>
    </w:p>
    <w:p w14:paraId="330EFC3E">
      <w:pPr>
        <w:spacing w:line="276" w:lineRule="auto"/>
        <w:rPr>
          <w:rFonts w:hint="eastAsia" w:ascii="微软雅黑" w:hAnsi="微软雅黑" w:eastAsia="微软雅黑"/>
          <w:sz w:val="18"/>
          <w:szCs w:val="18"/>
        </w:rPr>
      </w:pPr>
      <w:r>
        <w:rPr>
          <w:rFonts w:ascii="微软雅黑" w:hAnsi="微软雅黑" w:eastAsia="微软雅黑"/>
          <w:sz w:val="18"/>
          <w:szCs w:val="18"/>
        </w:rPr>
        <w:t>3.1</w:t>
      </w:r>
      <w:r>
        <w:rPr>
          <w:rFonts w:hint="eastAsia" w:ascii="微软雅黑" w:hAnsi="微软雅黑" w:eastAsia="微软雅黑"/>
          <w:sz w:val="18"/>
          <w:szCs w:val="18"/>
        </w:rPr>
        <w:t>相关背景描述，以及现有技术的技术方案</w:t>
      </w:r>
      <w:r>
        <w:rPr>
          <w:rFonts w:hint="eastAsia" w:ascii="微软雅黑" w:hAnsi="微软雅黑" w:eastAsia="微软雅黑"/>
          <w:color w:val="FF0000"/>
          <w:sz w:val="18"/>
          <w:szCs w:val="18"/>
        </w:rPr>
        <w:t>（必填）</w:t>
      </w:r>
    </w:p>
    <w:p w14:paraId="60EFA0B3">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方案一：人工逐条审核方案</w:t>
      </w:r>
    </w:p>
    <w:p w14:paraId="63F4EC7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由动画师或技术美术逐帧检查蒙皮结果，发现异常后手动标注或剔除。该方法在准确度上可接受，但人力成本高，主观性强，批量场景下吞吐量极低。</w:t>
      </w:r>
    </w:p>
    <w:p w14:paraId="46213BBF">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方案二：单指标硬阈值方案</w:t>
      </w:r>
    </w:p>
    <w:p w14:paraId="03FDDB0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仅使用单一指标（如穿插深度或法线翻折比例）执行布尔判断，超阈值即报异常。实现简单，但漏检和误检率高，无法覆盖复合异常类型，且阈值跨项目迁移性差。</w:t>
      </w:r>
    </w:p>
    <w:p w14:paraId="3CC8E181">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方案三：监督学习评分方案</w:t>
      </w:r>
    </w:p>
    <w:p w14:paraId="017FE7A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利用人工标注数据训练质量分类或回归模型，实现自动打分。构建成本高，且跨角色类型、跨服装、跨动作的泛化风险较大，GT采集难以规模化。</w:t>
      </w:r>
    </w:p>
    <w:p w14:paraId="22E6F10C">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方案四：离线一次性清洗方案</w:t>
      </w:r>
    </w:p>
    <w:p w14:paraId="10BA2B1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对已有样本执行一次性异常筛除，但清洗结果不与后续训练、版本回归形成联动，缺乏持续改进机制。</w:t>
      </w:r>
    </w:p>
    <w:p w14:paraId="511496AB">
      <w:pPr>
        <w:spacing w:line="276" w:lineRule="auto"/>
        <w:rPr>
          <w:rFonts w:hint="eastAsia" w:ascii="微软雅黑" w:hAnsi="微软雅黑" w:eastAsia="微软雅黑"/>
          <w:sz w:val="18"/>
          <w:szCs w:val="18"/>
        </w:rPr>
      </w:pPr>
      <w:r>
        <w:rPr>
          <w:rFonts w:ascii="微软雅黑" w:hAnsi="微软雅黑" w:eastAsia="微软雅黑"/>
          <w:b/>
          <w:bCs/>
          <w:sz w:val="18"/>
          <w:szCs w:val="18"/>
        </w:rPr>
        <w:t>方案五：静态统一阈值方案</w:t>
      </w:r>
    </w:p>
    <w:p w14:paraId="1DE4F6E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在所有部位和角色类型上复用同一阈值集合，容易导致头发、布料、躯干等不同部位的评价系统性偏差。</w:t>
      </w:r>
    </w:p>
    <w:p w14:paraId="73DFBBF3">
      <w:pPr>
        <w:spacing w:line="276" w:lineRule="auto"/>
        <w:rPr>
          <w:rFonts w:hint="eastAsia" w:ascii="微软雅黑" w:hAnsi="微软雅黑" w:eastAsia="微软雅黑"/>
          <w:sz w:val="18"/>
          <w:szCs w:val="18"/>
        </w:rPr>
      </w:pPr>
      <w:r>
        <w:rPr>
          <w:rFonts w:ascii="微软雅黑" w:hAnsi="微软雅黑" w:eastAsia="微软雅黑"/>
          <w:sz w:val="18"/>
          <w:szCs w:val="18"/>
        </w:rPr>
        <w:t>3.2</w:t>
      </w:r>
      <w:r>
        <w:rPr>
          <w:rFonts w:hint="eastAsia" w:ascii="微软雅黑" w:hAnsi="微软雅黑" w:eastAsia="微软雅黑"/>
          <w:sz w:val="18"/>
          <w:szCs w:val="18"/>
        </w:rPr>
        <w:t>现有技术的缺点或尚未解决的问题，以及本专利技术方案可以解决的问题</w:t>
      </w:r>
      <w:r>
        <w:rPr>
          <w:rFonts w:hint="eastAsia" w:ascii="微软雅黑" w:hAnsi="微软雅黑" w:eastAsia="微软雅黑"/>
          <w:color w:val="FF0000"/>
          <w:sz w:val="18"/>
          <w:szCs w:val="18"/>
        </w:rPr>
        <w:t>（必填）</w:t>
      </w:r>
    </w:p>
    <w:p w14:paraId="693A4B8A">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缺陷一：无GT场景下难以评估</w:t>
      </w:r>
    </w:p>
    <w:p w14:paraId="7C70ED7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缺少真值导致监督式方案无法落地。本发明通过可解释的物理规则和几何约束替代GT依赖，构建无标注场景下的稳定质量评分体系。</w:t>
      </w:r>
    </w:p>
    <w:p w14:paraId="13538DA9">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缺陷二：单指标覆盖不足</w:t>
      </w:r>
    </w:p>
    <w:p w14:paraId="076E372F">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单指标方案无法识别复合异常（如同时存在轻微穿插与粘连的样本）。本发明采用多指标并行计算与门控聚合机制，显著提升异常类型覆盖率和评估稳健性。</w:t>
      </w:r>
    </w:p>
    <w:p w14:paraId="2A47AEB0">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缺陷三：阈值迁移性差</w:t>
      </w:r>
    </w:p>
    <w:p w14:paraId="1B055AA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固定阈值在不同角色与部位上容易系统性失效。本发明提供分位数和分部位自适应阈值策略，降低跨项目迁移失真率。</w:t>
      </w:r>
    </w:p>
    <w:p w14:paraId="37735B70">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缺陷四：定位能力不足</w:t>
      </w:r>
    </w:p>
    <w:p w14:paraId="5F8795F4">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现有方案多只输出样本级好坏标签，无法定位具体异常位置，增加修复成本。本发明输出连通域定位和骨骼影响域反推结果，支持可解释排障。</w:t>
      </w:r>
    </w:p>
    <w:p w14:paraId="6F90894E">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缺陷五：数据治理断层</w:t>
      </w:r>
    </w:p>
    <w:p w14:paraId="16F0631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评估与训练环节相互独立。本发明将评估结果直接联动到清洗、重采样、微调与回归监控，形成完整数据治理闭环。</w:t>
      </w:r>
    </w:p>
    <w:p w14:paraId="1F16E0B2">
      <w:pPr>
        <w:spacing w:line="276" w:lineRule="auto"/>
        <w:rPr>
          <w:rFonts w:hint="eastAsia" w:ascii="微软雅黑" w:hAnsi="微软雅黑" w:eastAsia="微软雅黑"/>
          <w:sz w:val="18"/>
          <w:szCs w:val="18"/>
        </w:rPr>
      </w:pPr>
      <w:r>
        <w:rPr>
          <w:rFonts w:ascii="微软雅黑" w:hAnsi="微软雅黑" w:eastAsia="微软雅黑"/>
          <w:b/>
          <w:bCs/>
          <w:sz w:val="18"/>
          <w:szCs w:val="18"/>
        </w:rPr>
        <w:t>缺陷六：版本运维困难</w:t>
      </w:r>
    </w:p>
    <w:p w14:paraId="4BB6D6F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规则与阈值的版本迭代难以追踪，历史结果难复现。本发明引入规则版本、阈值版本、报告快照与回归基线，支持全链路审计与回滚。</w:t>
      </w:r>
    </w:p>
    <w:p w14:paraId="4062AF4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本发明要解决的核心技术问题是：在无GT前提下，如何以低成本、可扩展、可解释的方式实现蒙皮质量自动评估，并将评估结果稳定转化为可执行的数据闭环与模型持续改进能力。</w:t>
      </w:r>
    </w:p>
    <w:p w14:paraId="24EC25CB">
      <w:pPr>
        <w:spacing w:line="276" w:lineRule="auto"/>
        <w:rPr>
          <w:rFonts w:hint="eastAsia"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color w:val="000000"/>
          <w:sz w:val="18"/>
          <w:szCs w:val="18"/>
        </w:rPr>
        <w:t>、</w:t>
      </w:r>
      <w:r>
        <w:rPr>
          <w:rFonts w:hint="eastAsia" w:ascii="微软雅黑" w:hAnsi="微软雅黑" w:eastAsia="微软雅黑"/>
          <w:b/>
          <w:bCs/>
          <w:color w:val="000000"/>
          <w:sz w:val="18"/>
          <w:szCs w:val="18"/>
        </w:rPr>
        <w:t>【发明内容】</w:t>
      </w:r>
      <w:r>
        <w:rPr>
          <w:rFonts w:hint="eastAsia" w:ascii="微软雅黑" w:hAnsi="微软雅黑" w:eastAsia="微软雅黑"/>
          <w:sz w:val="18"/>
          <w:szCs w:val="18"/>
        </w:rPr>
        <w:t xml:space="preserve">本专利方案的详细阐述（图文并茂） </w:t>
      </w:r>
    </w:p>
    <w:p w14:paraId="1272AA26">
      <w:pPr>
        <w:spacing w:line="276" w:lineRule="auto"/>
        <w:rPr>
          <w:rFonts w:hint="eastAsia"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sz w:val="18"/>
          <w:szCs w:val="18"/>
        </w:rPr>
        <w:t>.1产品侧</w:t>
      </w:r>
      <w:r>
        <w:rPr>
          <w:rFonts w:hint="eastAsia" w:ascii="微软雅黑" w:hAnsi="微软雅黑" w:eastAsia="微软雅黑"/>
          <w:color w:val="FF0000"/>
          <w:sz w:val="18"/>
          <w:szCs w:val="18"/>
        </w:rPr>
        <w:t>（必填）</w:t>
      </w:r>
    </w:p>
    <w:p w14:paraId="53F63FA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产品侧实现为"无GT质量评估与闭环平台"，可嵌入现有动画生产工具链或训练管线，主要功能模块如下：</w:t>
      </w:r>
    </w:p>
    <w:p w14:paraId="28F3FCCD">
      <w:pPr>
        <w:spacing w:line="276" w:lineRule="auto"/>
        <w:rPr>
          <w:rFonts w:hint="eastAsia" w:ascii="微软雅黑" w:hAnsi="微软雅黑" w:eastAsia="微软雅黑"/>
          <w:sz w:val="18"/>
          <w:szCs w:val="18"/>
        </w:rPr>
      </w:pPr>
      <w:r>
        <w:rPr>
          <w:rFonts w:ascii="微软雅黑" w:hAnsi="微软雅黑" w:eastAsia="微软雅黑"/>
          <w:b/>
          <w:bCs/>
          <w:sz w:val="18"/>
          <w:szCs w:val="18"/>
        </w:rPr>
        <w:t>数据接入与指标编排层</w:t>
      </w:r>
      <w:r>
        <w:rPr>
          <w:rFonts w:ascii="微软雅黑" w:hAnsi="微软雅黑" w:eastAsia="微软雅黑"/>
          <w:sz w:val="18"/>
          <w:szCs w:val="18"/>
        </w:rPr>
        <w:t xml:space="preserve"> ：接入单帧或序列蒙皮结果（顶点序列、骨骼变换、权重矩阵）及网格拓扑、部位分组等结构信息；以插件化方式管理指标集合，支持按项目模板启停指标，配置权重、阈值与优先级。</w:t>
      </w:r>
    </w:p>
    <w:p w14:paraId="3335FADF">
      <w:pPr>
        <w:spacing w:line="276" w:lineRule="auto"/>
        <w:rPr>
          <w:rFonts w:hint="eastAsia" w:ascii="微软雅黑" w:hAnsi="微软雅黑" w:eastAsia="微软雅黑"/>
          <w:sz w:val="18"/>
          <w:szCs w:val="18"/>
        </w:rPr>
      </w:pPr>
      <w:r>
        <w:rPr>
          <w:rFonts w:ascii="微软雅黑" w:hAnsi="微软雅黑" w:eastAsia="微软雅黑"/>
          <w:b/>
          <w:bCs/>
          <w:sz w:val="18"/>
          <w:szCs w:val="18"/>
        </w:rPr>
        <w:t>评估执行与决策层</w:t>
      </w:r>
      <w:r>
        <w:rPr>
          <w:rFonts w:ascii="微软雅黑" w:hAnsi="微软雅黑" w:eastAsia="微软雅黑"/>
          <w:sz w:val="18"/>
          <w:szCs w:val="18"/>
        </w:rPr>
        <w:t xml:space="preserve"> ：批量并行运行指标插件，输出样本总分 </w:t>
      </w:r>
      <m:oMath>
        <m:box>
          <m:boxPr>
            <m:ctrlPr>
              <w:rPr>
                <w:rFonts w:ascii="Cambria Math" w:hAnsi="Cambria Math"/>
              </w:rPr>
            </m:ctrlPr>
          </m:boxPr>
          <m:e>
            <m:r>
              <m:rPr/>
              <w:rPr>
                <w:rFonts w:ascii="Cambria Math" w:hAnsi="Cambria Math"/>
              </w:rPr>
              <m:t>Q</m:t>
            </m:r>
            <m:ctrlPr>
              <w:rPr>
                <w:rFonts w:ascii="Cambria Math" w:hAnsi="Cambria Math"/>
              </w:rPr>
            </m:ctrlPr>
          </m:e>
        </m:box>
      </m:oMath>
      <w:r>
        <w:rPr>
          <w:rFonts w:ascii="微软雅黑" w:hAnsi="微软雅黑" w:eastAsia="微软雅黑"/>
          <w:sz w:val="18"/>
          <w:szCs w:val="18"/>
        </w:rPr>
        <w:t xml:space="preserve">、分项分数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和定位区域；依据分级策略自动划分A/B/C质量等级，执行保留、降权、重采样或剔除动作，对资产入库、训练数据构建、模型发布三类场景提供标准闸门接口。</w:t>
      </w:r>
    </w:p>
    <w:p w14:paraId="38E611E8">
      <w:pPr>
        <w:spacing w:line="276" w:lineRule="auto"/>
        <w:rPr>
          <w:rFonts w:hint="eastAsia" w:ascii="微软雅黑" w:hAnsi="微软雅黑" w:eastAsia="微软雅黑"/>
          <w:sz w:val="18"/>
          <w:szCs w:val="18"/>
        </w:rPr>
      </w:pPr>
      <w:r>
        <w:rPr>
          <w:rFonts w:ascii="微软雅黑" w:hAnsi="微软雅黑" w:eastAsia="微软雅黑"/>
          <w:b/>
          <w:bCs/>
          <w:sz w:val="18"/>
          <w:szCs w:val="18"/>
        </w:rPr>
        <w:t>闭环联动层</w:t>
      </w:r>
      <w:r>
        <w:rPr>
          <w:rFonts w:ascii="微软雅黑" w:hAnsi="微软雅黑" w:eastAsia="微软雅黑"/>
          <w:sz w:val="18"/>
          <w:szCs w:val="18"/>
        </w:rPr>
        <w:t xml:space="preserve"> ：将异常样本归档至难例池，按配置周期触发微调与回归任务；将回归结果中的阈值优化建议反写至配置层，形成评估策略的持续自适应更新。</w:t>
      </w:r>
    </w:p>
    <w:p w14:paraId="6D49C366">
      <w:pPr>
        <w:spacing w:line="276" w:lineRule="auto"/>
        <w:rPr>
          <w:rFonts w:hint="eastAsia" w:ascii="微软雅黑" w:hAnsi="微软雅黑" w:eastAsia="微软雅黑"/>
          <w:sz w:val="18"/>
          <w:szCs w:val="18"/>
        </w:rPr>
      </w:pPr>
      <w:r>
        <w:rPr>
          <w:rFonts w:ascii="微软雅黑" w:hAnsi="微软雅黑" w:eastAsia="微软雅黑"/>
          <w:b/>
          <w:bCs/>
          <w:sz w:val="18"/>
          <w:szCs w:val="18"/>
        </w:rPr>
        <w:t>可视化与审计层</w:t>
      </w:r>
      <w:r>
        <w:rPr>
          <w:rFonts w:ascii="微软雅黑" w:hAnsi="微软雅黑" w:eastAsia="微软雅黑"/>
          <w:sz w:val="18"/>
          <w:szCs w:val="18"/>
        </w:rPr>
        <w:t xml:space="preserve"> ：提供指标趋势图、异常热区图和误判抽检报告，保留规则版本、阈值版本、执行日志与报告快照，支持完整审计追溯。</w:t>
      </w:r>
    </w:p>
    <w:p w14:paraId="41DA234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典型业务流程：每日批任务执行全量评估并划分A/B/C等级；C级剔除，B级人工抽检，A级直接入训练集；周期触发难例微调与对照回归；若关键指标恶化超过阈值，自动阻断发布或回滚配置。</w:t>
      </w:r>
    </w:p>
    <w:p w14:paraId="6887508C">
      <w:pPr>
        <w:jc w:val="center"/>
      </w:pPr>
      <w:r>
        <w:drawing>
          <wp:inline distT="0" distB="0" distL="0" distR="0">
            <wp:extent cx="4572000" cy="2493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4572000" cy="2493818"/>
                    </a:xfrm>
                    <a:prstGeom prst="rect">
                      <a:avLst/>
                    </a:prstGeom>
                  </pic:spPr>
                </pic:pic>
              </a:graphicData>
            </a:graphic>
          </wp:inline>
        </w:drawing>
      </w:r>
    </w:p>
    <w:p w14:paraId="2A2A0631">
      <w:pPr>
        <w:jc w:val="center"/>
      </w:pPr>
      <w:r>
        <w:rPr>
          <w:sz w:val="18"/>
          <w:szCs w:val="18"/>
        </w:rPr>
        <w:t>图1 无GT质量评估与闭环平台系统架构图</w:t>
      </w:r>
    </w:p>
    <w:p w14:paraId="293C5EE4">
      <w:pPr>
        <w:jc w:val="center"/>
      </w:pPr>
      <w:r>
        <w:drawing>
          <wp:inline distT="0" distB="0" distL="0" distR="0">
            <wp:extent cx="4572000" cy="249364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4572000" cy="2493818"/>
                    </a:xfrm>
                    <a:prstGeom prst="rect">
                      <a:avLst/>
                    </a:prstGeom>
                  </pic:spPr>
                </pic:pic>
              </a:graphicData>
            </a:graphic>
          </wp:inline>
        </w:drawing>
      </w:r>
    </w:p>
    <w:p w14:paraId="0C11298C">
      <w:pPr>
        <w:jc w:val="center"/>
      </w:pPr>
      <w:r>
        <w:rPr>
          <w:sz w:val="18"/>
          <w:szCs w:val="18"/>
        </w:rPr>
        <w:t>图2 质量闸门三级部署架构图</w:t>
      </w:r>
    </w:p>
    <w:p w14:paraId="097395BD">
      <w:pPr>
        <w:spacing w:line="276" w:lineRule="auto"/>
        <w:rPr>
          <w:rFonts w:hint="eastAsia" w:ascii="微软雅黑" w:hAnsi="微软雅黑" w:eastAsia="微软雅黑"/>
          <w:sz w:val="18"/>
          <w:szCs w:val="18"/>
        </w:rPr>
      </w:pPr>
      <w:r>
        <w:rPr>
          <w:rFonts w:ascii="微软雅黑" w:hAnsi="微软雅黑" w:eastAsia="微软雅黑"/>
          <w:sz w:val="18"/>
          <w:szCs w:val="18"/>
        </w:rPr>
        <w:t>4</w:t>
      </w:r>
      <w:r>
        <w:rPr>
          <w:rFonts w:hint="eastAsia" w:ascii="微软雅黑" w:hAnsi="微软雅黑" w:eastAsia="微软雅黑"/>
          <w:sz w:val="18"/>
          <w:szCs w:val="18"/>
        </w:rPr>
        <w:t>.2技术侧</w:t>
      </w:r>
      <w:r>
        <w:rPr>
          <w:rFonts w:hint="eastAsia" w:ascii="微软雅黑" w:hAnsi="微软雅黑" w:eastAsia="微软雅黑"/>
          <w:color w:val="FF0000"/>
          <w:sz w:val="18"/>
          <w:szCs w:val="18"/>
        </w:rPr>
        <w:t>（必填）</w:t>
      </w:r>
    </w:p>
    <w:p w14:paraId="324417C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技术侧由指标计算、归一化、聚合、定位、闭环执行五个阶段构成。</w:t>
      </w:r>
    </w:p>
    <w:p w14:paraId="7950F5E5">
      <w:pPr>
        <w:spacing w:line="276" w:lineRule="auto"/>
        <w:rPr>
          <w:rFonts w:hint="eastAsia" w:ascii="微软雅黑" w:hAnsi="微软雅黑" w:eastAsia="微软雅黑"/>
          <w:sz w:val="18"/>
          <w:szCs w:val="18"/>
        </w:rPr>
      </w:pPr>
      <w:r>
        <w:rPr>
          <w:rFonts w:ascii="微软雅黑" w:hAnsi="微软雅黑" w:eastAsia="微软雅黑"/>
          <w:sz w:val="18"/>
          <w:szCs w:val="18"/>
        </w:rPr>
        <w:t>4.2.1 输入与输出定义</w:t>
      </w:r>
    </w:p>
    <w:p w14:paraId="31F652C5">
      <w:pPr>
        <w:spacing w:line="276" w:lineRule="auto"/>
        <w:rPr>
          <w:rFonts w:hint="eastAsia" w:ascii="微软雅黑" w:hAnsi="微软雅黑" w:eastAsia="微软雅黑"/>
          <w:sz w:val="18"/>
          <w:szCs w:val="18"/>
        </w:rPr>
      </w:pPr>
      <w:r>
        <w:rPr>
          <w:rFonts w:ascii="微软雅黑" w:hAnsi="微软雅黑" w:eastAsia="微软雅黑"/>
          <w:b/>
          <w:bCs/>
          <w:sz w:val="18"/>
          <w:szCs w:val="18"/>
        </w:rPr>
        <w:t>输入包括：</w:t>
      </w:r>
    </w:p>
    <w:p w14:paraId="51D21DB7">
      <w:pPr>
        <w:spacing w:line="276" w:lineRule="auto"/>
        <w:rPr>
          <w:rFonts w:hint="eastAsia" w:ascii="微软雅黑" w:hAnsi="微软雅黑" w:eastAsia="微软雅黑"/>
          <w:sz w:val="18"/>
          <w:szCs w:val="18"/>
        </w:rPr>
      </w:pPr>
      <w:r>
        <w:rPr>
          <w:rFonts w:ascii="微软雅黑" w:hAnsi="微软雅黑" w:eastAsia="微软雅黑"/>
          <w:sz w:val="18"/>
          <w:szCs w:val="18"/>
        </w:rPr>
        <w:t>蒙皮结果：</w:t>
      </w:r>
      <w:commentRangeStart w:id="2"/>
      <w:r>
        <w:rPr>
          <w:rFonts w:ascii="微软雅黑" w:hAnsi="微软雅黑" w:eastAsia="微软雅黑"/>
          <w:sz w:val="18"/>
          <w:szCs w:val="18"/>
        </w:rPr>
        <w:t xml:space="preserve">顶点序列 </w:t>
      </w:r>
      <m:oMath>
        <m:box>
          <m:boxPr>
            <m:ctrlPr>
              <w:rPr>
                <w:rFonts w:ascii="Cambria Math" w:hAnsi="Cambria Math"/>
              </w:rPr>
            </m:ctrlPr>
          </m:boxPr>
          <m:e>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m:sty m:val="p"/>
                      </m:rPr>
                      <w:rPr>
                        <w:rFonts w:ascii="Cambria Math" w:hAnsi="Cambria Math"/>
                      </w:rPr>
                      <m:t>1</m:t>
                    </m:r>
                    <m:r>
                      <m:rPr/>
                      <w:rPr>
                        <w:rFonts w:ascii="Cambria Math" w:hAnsi="Cambria Math"/>
                      </w:rPr>
                      <m:t>:T</m:t>
                    </m:r>
                    <m:ctrlPr>
                      <w:rPr>
                        <w:rFonts w:ascii="Cambria Math" w:hAnsi="Cambria Math"/>
                      </w:rPr>
                    </m:ctrlPr>
                  </m:e>
                </m:box>
                <m:ctrlPr>
                  <w:rPr>
                    <w:rFonts w:ascii="Cambria Math" w:hAnsi="Cambria Math"/>
                  </w:rPr>
                </m:ctrlP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box>
                  <m:boxPr>
                    <m:ctrlPr>
                      <w:rPr>
                        <w:rFonts w:ascii="Cambria Math" w:hAnsi="Cambria Math"/>
                      </w:rPr>
                    </m:ctrlPr>
                  </m:boxPr>
                  <m:e>
                    <m:r>
                      <m:rPr/>
                      <w:rPr>
                        <w:rFonts w:ascii="Cambria Math" w:hAnsi="Cambria Math"/>
                      </w:rPr>
                      <m:t>T</m:t>
                    </m:r>
                    <m:r>
                      <m:rPr>
                        <m:sty m:val="p"/>
                      </m:rPr>
                      <w:rPr>
                        <w:rFonts w:ascii="Cambria Math" w:hAnsi="Cambria Math"/>
                      </w:rPr>
                      <m:t>×</m:t>
                    </m:r>
                    <m:r>
                      <m:rPr/>
                      <w:rPr>
                        <w:rFonts w:ascii="Cambria Math" w:hAnsi="Cambria Math"/>
                      </w:rPr>
                      <m:t>N</m:t>
                    </m:r>
                    <m:r>
                      <m:rPr>
                        <m:sty m:val="p"/>
                      </m:rPr>
                      <w:rPr>
                        <w:rFonts w:ascii="Cambria Math" w:hAnsi="Cambria Math"/>
                      </w:rPr>
                      <m:t>×3</m:t>
                    </m:r>
                    <m:ctrlPr>
                      <w:rPr>
                        <w:rFonts w:ascii="Cambria Math" w:hAnsi="Cambria Math"/>
                      </w:rPr>
                    </m:ctrlPr>
                  </m:e>
                </m:box>
                <m:ctrlPr>
                  <w:rPr>
                    <w:rFonts w:ascii="Cambria Math" w:hAnsi="Cambria Math"/>
                  </w:rPr>
                </m:ctrlPr>
              </m:sup>
            </m:sSup>
            <m:ctrlPr>
              <w:rPr>
                <w:rFonts w:ascii="Cambria Math" w:hAnsi="Cambria Math"/>
              </w:rPr>
            </m:ctrlPr>
          </m:e>
        </m:box>
      </m:oMath>
      <w:r>
        <w:rPr>
          <w:rFonts w:ascii="微软雅黑" w:hAnsi="微软雅黑" w:eastAsia="微软雅黑"/>
          <w:sz w:val="18"/>
          <w:szCs w:val="18"/>
        </w:rPr>
        <w:t xml:space="preserve">、骨骼变换序列 </w:t>
      </w:r>
      <m:oMath>
        <m:box>
          <m:boxPr>
            <m:ctrlPr>
              <w:rPr>
                <w:rFonts w:ascii="Cambria Math" w:hAnsi="Cambria Math"/>
              </w:rPr>
            </m:ctrlPr>
          </m:boxPr>
          <m:e>
            <m:sSub>
              <m:sSubPr>
                <m:ctrlPr>
                  <w:rPr>
                    <w:rFonts w:ascii="Cambria Math" w:hAnsi="Cambria Math"/>
                  </w:rPr>
                </m:ctrlPr>
              </m:sSubPr>
              <m:e>
                <m:r>
                  <m:rPr/>
                  <w:rPr>
                    <w:rFonts w:ascii="Cambria Math" w:hAnsi="Cambria Math"/>
                  </w:rPr>
                  <m:t>B</m:t>
                </m:r>
                <m:ctrlPr>
                  <w:rPr>
                    <w:rFonts w:ascii="Cambria Math" w:hAnsi="Cambria Math"/>
                  </w:rPr>
                </m:ctrlPr>
              </m:e>
              <m:sub>
                <m:box>
                  <m:boxPr>
                    <m:ctrlPr>
                      <w:rPr>
                        <w:rFonts w:ascii="Cambria Math" w:hAnsi="Cambria Math"/>
                      </w:rPr>
                    </m:ctrlPr>
                  </m:boxPr>
                  <m:e>
                    <m:r>
                      <m:rPr>
                        <m:sty m:val="p"/>
                      </m:rPr>
                      <w:rPr>
                        <w:rFonts w:ascii="Cambria Math" w:hAnsi="Cambria Math"/>
                      </w:rPr>
                      <m:t>1</m:t>
                    </m:r>
                    <m:r>
                      <m:rPr/>
                      <w:rPr>
                        <w:rFonts w:ascii="Cambria Math" w:hAnsi="Cambria Math"/>
                      </w:rPr>
                      <m:t>:T</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、权重矩阵 </w:t>
      </w:r>
      <m:oMath>
        <m:box>
          <m:boxPr>
            <m:ctrlPr>
              <w:rPr>
                <w:rFonts w:ascii="Cambria Math" w:hAnsi="Cambria Math"/>
              </w:rPr>
            </m:ctrlPr>
          </m:boxPr>
          <m:e>
            <m:r>
              <m:rPr/>
              <w:rPr>
                <w:rFonts w:ascii="Cambria Math" w:hAnsi="Cambria Math"/>
              </w:rPr>
              <m:t>W</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box>
                  <m:boxPr>
                    <m:ctrlPr>
                      <w:rPr>
                        <w:rFonts w:ascii="Cambria Math" w:hAnsi="Cambria Math"/>
                      </w:rPr>
                    </m:ctrlPr>
                  </m:boxPr>
                  <m:e>
                    <m:r>
                      <m:rPr/>
                      <w:rPr>
                        <w:rFonts w:ascii="Cambria Math" w:hAnsi="Cambria Math"/>
                      </w:rPr>
                      <m:t>N</m:t>
                    </m:r>
                    <m:r>
                      <m:rPr>
                        <m:sty m:val="p"/>
                      </m:rPr>
                      <w:rPr>
                        <w:rFonts w:ascii="Cambria Math" w:hAnsi="Cambria Math"/>
                      </w:rPr>
                      <m:t>×</m:t>
                    </m:r>
                    <m:r>
                      <m:rPr/>
                      <w:rPr>
                        <w:rFonts w:ascii="Cambria Math" w:hAnsi="Cambria Math"/>
                      </w:rPr>
                      <m:t>B</m:t>
                    </m:r>
                    <m:ctrlPr>
                      <w:rPr>
                        <w:rFonts w:ascii="Cambria Math" w:hAnsi="Cambria Math"/>
                      </w:rPr>
                    </m:ctrlPr>
                  </m:e>
                </m:box>
                <m:ctrlPr>
                  <w:rPr>
                    <w:rFonts w:ascii="Cambria Math" w:hAnsi="Cambria Math"/>
                  </w:rPr>
                </m:ctrlPr>
              </m:sup>
            </m:sSup>
            <m:ctrlPr>
              <w:rPr>
                <w:rFonts w:ascii="Cambria Math" w:hAnsi="Cambria Math"/>
              </w:rPr>
            </m:ctrlPr>
          </m:e>
        </m:box>
      </m:oMath>
      <w:r>
        <w:rPr>
          <w:rFonts w:ascii="微软雅黑" w:hAnsi="微软雅黑" w:eastAsia="微软雅黑"/>
          <w:sz w:val="18"/>
          <w:szCs w:val="18"/>
        </w:rPr>
        <w:t>；</w:t>
      </w:r>
    </w:p>
    <w:p w14:paraId="04CAE0A2">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结构信息：网格拓扑 </w:t>
      </w:r>
      <m:oMath>
        <m:box>
          <m:boxPr>
            <m:ctrlPr>
              <w:rPr>
                <w:rFonts w:ascii="Cambria Math" w:hAnsi="Cambria Math"/>
              </w:rPr>
            </m:ctrlPr>
          </m:boxPr>
          <m:e>
            <m:r>
              <m:rPr>
                <m:scr m:val="script"/>
              </m:rPr>
              <w:rPr>
                <w:rFonts w:ascii="Cambria Math" w:hAnsi="Cambria Math"/>
              </w:rPr>
              <m:t>ℳ</m:t>
            </m:r>
            <m:r>
              <m:rPr>
                <m:sty m:val="p"/>
              </m:rPr>
              <w:rPr>
                <w:rFonts w:ascii="Cambria Math" w:hAnsi="Cambria Math"/>
              </w:rPr>
              <m:t>=(</m:t>
            </m:r>
            <m:r>
              <m:rPr>
                <m:scr m:val="script"/>
              </m:rPr>
              <w:rPr>
                <w:rFonts w:ascii="Cambria Math" w:hAnsi="Cambria Math"/>
              </w:rPr>
              <m:t>V</m:t>
            </m:r>
            <m:r>
              <m:rPr>
                <m:sty m:val="p"/>
              </m:rPr>
              <w:rPr>
                <w:rFonts w:ascii="Cambria Math" w:hAnsi="Cambria Math"/>
              </w:rPr>
              <m:t>,</m:t>
            </m:r>
            <m:r>
              <m:rPr>
                <m:scr m:val="script"/>
              </m:rPr>
              <w:rPr>
                <w:rFonts w:ascii="Cambria Math" w:hAnsi="Cambria Math"/>
              </w:rPr>
              <m:t>ℰ</m:t>
            </m:r>
            <m:r>
              <m:rPr>
                <m:sty m:val="p"/>
              </m:rPr>
              <w:rPr>
                <w:rFonts w:ascii="Cambria Math" w:hAnsi="Cambria Math"/>
              </w:rPr>
              <m:t>,</m:t>
            </m:r>
            <m:r>
              <m:rPr>
                <m:scr m:val="script"/>
              </m:rPr>
              <w:rPr>
                <w:rFonts w:ascii="Cambria Math" w:hAnsi="Cambria Math"/>
              </w:rPr>
              <m:t>ℱ</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、部位分组 </w:t>
      </w:r>
      <m:oMath>
        <m:box>
          <m:boxPr>
            <m:ctrlPr>
              <w:rPr>
                <w:rFonts w:ascii="Cambria Math" w:hAnsi="Cambria Math"/>
              </w:rPr>
            </m:ctrlPr>
          </m:boxPr>
          <m:e>
            <m:r>
              <m:rPr>
                <m:scr m:val="script"/>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、骨骼层级 </w:t>
      </w:r>
      <m:oMath>
        <m:box>
          <m:boxPr>
            <m:ctrlPr>
              <w:rPr>
                <w:rFonts w:ascii="Cambria Math" w:hAnsi="Cambria Math"/>
              </w:rPr>
            </m:ctrlPr>
          </m:boxPr>
          <m:e>
            <m:r>
              <m:rPr>
                <m:scr m:val="script"/>
              </m:rPr>
              <w:rPr>
                <w:rFonts w:ascii="Cambria Math" w:hAnsi="Cambria Math"/>
              </w:rPr>
              <m:t>ℋ</m:t>
            </m:r>
            <m:ctrlPr>
              <w:rPr>
                <w:rFonts w:ascii="Cambria Math" w:hAnsi="Cambria Math"/>
              </w:rPr>
            </m:ctrlPr>
          </m:e>
        </m:box>
      </m:oMath>
      <w:r>
        <w:rPr>
          <w:rFonts w:ascii="微软雅黑" w:hAnsi="微软雅黑" w:eastAsia="微软雅黑"/>
          <w:sz w:val="18"/>
          <w:szCs w:val="18"/>
        </w:rPr>
        <w:t>；</w:t>
      </w:r>
      <w:commentRangeEnd w:id="2"/>
      <w:r>
        <w:commentReference w:id="2"/>
      </w:r>
      <w:commentRangeStart w:id="23"/>
      <w:commentRangeEnd w:id="23"/>
      <w:r>
        <w:commentReference w:id="23"/>
      </w:r>
    </w:p>
    <w:p w14:paraId="76185095">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配置参数：指标集 </w:t>
      </w:r>
      <m:oMath>
        <m:box>
          <m:boxPr>
            <m:ctrlPr>
              <w:rPr>
                <w:rFonts w:ascii="Cambria Math" w:hAnsi="Cambria Math"/>
              </w:rPr>
            </m:ctrlPr>
          </m:boxPr>
          <m:e>
            <m:r>
              <m:rPr>
                <m:scr m:val="script"/>
              </m:rPr>
              <w:rPr>
                <w:rFonts w:ascii="Cambria Math" w:hAnsi="Cambria Math"/>
              </w:rPr>
              <m:t>ℐ</m:t>
            </m:r>
            <m:ctrlPr>
              <w:rPr>
                <w:rFonts w:ascii="Cambria Math" w:hAnsi="Cambria Math"/>
              </w:rPr>
            </m:ctrlPr>
          </m:e>
        </m:box>
      </m:oMath>
      <w:r>
        <w:rPr>
          <w:rFonts w:ascii="微软雅黑" w:hAnsi="微软雅黑" w:eastAsia="微软雅黑"/>
          <w:sz w:val="18"/>
          <w:szCs w:val="18"/>
        </w:rPr>
        <w:t xml:space="preserve">、阈值策略 </w:t>
      </w:r>
      <m:oMath>
        <m:box>
          <m:boxPr>
            <m:ctrlPr>
              <w:rPr>
                <w:rFonts w:ascii="Cambria Math" w:hAnsi="Cambria Math"/>
              </w:rPr>
            </m:ctrlPr>
          </m:boxPr>
          <m:e>
            <m:r>
              <m:rPr/>
              <w:rPr>
                <w:rFonts w:ascii="Cambria Math" w:hAnsi="Cambria Math"/>
              </w:rPr>
              <m:t>Θ</m:t>
            </m:r>
            <m:ctrlPr>
              <w:rPr>
                <w:rFonts w:ascii="Cambria Math" w:hAnsi="Cambria Math"/>
              </w:rPr>
            </m:ctrlPr>
          </m:e>
        </m:box>
      </m:oMath>
      <w:r>
        <w:rPr>
          <w:rFonts w:ascii="微软雅黑" w:hAnsi="微软雅黑" w:eastAsia="微软雅黑"/>
          <w:sz w:val="18"/>
          <w:szCs w:val="18"/>
        </w:rPr>
        <w:t xml:space="preserve">、聚合权重 </w:t>
      </w:r>
      <m:oMath>
        <m:box>
          <m:boxPr>
            <m:ctrlPr>
              <w:rPr>
                <w:rFonts w:ascii="Cambria Math" w:hAnsi="Cambria Math"/>
              </w:rPr>
            </m:ctrlPr>
          </m:boxPr>
          <m:e>
            <m:box>
              <m:boxPr>
                <m:ctrlPr>
                  <w:rPr>
                    <w:rFonts w:ascii="Cambria Math" w:hAnsi="Cambria Math"/>
                  </w:rPr>
                </m:ctrlPr>
              </m:boxPr>
              <m:e>
                <m:r>
                  <m:rPr>
                    <m:sty m:val="bi"/>
                  </m:rPr>
                  <w:rPr>
                    <w:rFonts w:ascii="Cambria Math" w:hAnsi="Cambria Math"/>
                  </w:rPr>
                  <m:t>α</m:t>
                </m:r>
                <m:ctrlPr>
                  <w:rPr>
                    <w:rFonts w:ascii="Cambria Math" w:hAnsi="Cambria Math"/>
                  </w:rPr>
                </m:ctrlPr>
              </m:e>
            </m:box>
            <m:ctrlPr>
              <w:rPr>
                <w:rFonts w:ascii="Cambria Math" w:hAnsi="Cambria Math"/>
              </w:rPr>
            </m:ctrlPr>
          </m:e>
        </m:box>
      </m:oMath>
      <w:r>
        <w:rPr>
          <w:rFonts w:ascii="微软雅黑" w:hAnsi="微软雅黑" w:eastAsia="微软雅黑"/>
          <w:sz w:val="18"/>
          <w:szCs w:val="18"/>
        </w:rPr>
        <w:t xml:space="preserve">、闸门策略 </w:t>
      </w:r>
      <m:oMath>
        <m:box>
          <m:boxPr>
            <m:ctrlPr>
              <w:rPr>
                <w:rFonts w:ascii="Cambria Math" w:hAnsi="Cambria Math"/>
              </w:rPr>
            </m:ctrlPr>
          </m:boxPr>
          <m:e>
            <m:r>
              <m:rPr/>
              <w:rPr>
                <w:rFonts w:ascii="Cambria Math" w:hAnsi="Cambria Math"/>
              </w:rPr>
              <m:t>Γ</m:t>
            </m:r>
            <m:ctrlPr>
              <w:rPr>
                <w:rFonts w:ascii="Cambria Math" w:hAnsi="Cambria Math"/>
              </w:rPr>
            </m:ctrlPr>
          </m:e>
        </m:box>
      </m:oMath>
      <w:r>
        <w:rPr>
          <w:rFonts w:ascii="微软雅黑" w:hAnsi="微软雅黑" w:eastAsia="微软雅黑"/>
          <w:sz w:val="18"/>
          <w:szCs w:val="18"/>
        </w:rPr>
        <w:t>。</w:t>
      </w:r>
    </w:p>
    <w:p w14:paraId="1DD86B01">
      <w:pPr>
        <w:spacing w:line="276" w:lineRule="auto"/>
        <w:rPr>
          <w:rFonts w:hint="eastAsia" w:ascii="微软雅黑" w:hAnsi="微软雅黑" w:eastAsia="微软雅黑"/>
          <w:sz w:val="18"/>
          <w:szCs w:val="18"/>
        </w:rPr>
      </w:pPr>
      <w:r>
        <w:rPr>
          <w:rFonts w:ascii="微软雅黑" w:hAnsi="微软雅黑" w:eastAsia="微软雅黑"/>
          <w:b/>
          <w:bCs/>
          <w:sz w:val="18"/>
          <w:szCs w:val="18"/>
        </w:rPr>
        <w:t>输出包括：</w:t>
      </w:r>
    </w:p>
    <w:p w14:paraId="128DB70B">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样本总分 </w:t>
      </w:r>
      <m:oMath>
        <m:box>
          <m:boxPr>
            <m:ctrlPr>
              <w:rPr>
                <w:rFonts w:ascii="Cambria Math" w:hAnsi="Cambria Math"/>
              </w:rPr>
            </m:ctrlPr>
          </m:boxPr>
          <m:e>
            <m:r>
              <m:rPr/>
              <w:rPr>
                <w:rFonts w:ascii="Cambria Math" w:hAnsi="Cambria Math"/>
              </w:rPr>
              <m:t>Q</m:t>
            </m:r>
            <m:ctrlPr>
              <w:rPr>
                <w:rFonts w:ascii="Cambria Math" w:hAnsi="Cambria Math"/>
              </w:rPr>
            </m:ctrlPr>
          </m:e>
        </m:box>
      </m:oMath>
      <w:r>
        <w:rPr>
          <w:rFonts w:ascii="微软雅黑" w:hAnsi="微软雅黑" w:eastAsia="微软雅黑"/>
          <w:sz w:val="18"/>
          <w:szCs w:val="18"/>
        </w:rPr>
        <w:t xml:space="preserve"> 与分项分数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box>
                  <m:boxPr>
                    <m:ctrlPr>
                      <w:rPr>
                        <w:rFonts w:ascii="Cambria Math" w:hAnsi="Cambria Math"/>
                      </w:rPr>
                    </m:ctrlPr>
                  </m:boxPr>
                  <m:e>
                    <m:r>
                      <m:rPr/>
                      <w:rPr>
                        <w:rFonts w:ascii="Cambria Math" w:hAnsi="Cambria Math"/>
                      </w:rPr>
                      <m:t>i</m:t>
                    </m:r>
                    <m:r>
                      <m:rPr>
                        <m:sty m:val="p"/>
                      </m:rPr>
                      <w:rPr>
                        <w:rFonts w:ascii="Cambria Math" w:hAnsi="Cambria Math"/>
                      </w:rPr>
                      <m:t>∈</m:t>
                    </m:r>
                    <m:r>
                      <m:rPr>
                        <m:scr m:val="script"/>
                      </m:rPr>
                      <w:rPr>
                        <w:rFonts w:ascii="Cambria Math" w:hAnsi="Cambria Math"/>
                      </w:rPr>
                      <m:t>ℐ</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w:t>
      </w:r>
    </w:p>
    <w:p w14:paraId="61B3E4E1">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异常类别标签 </w:t>
      </w:r>
      <m:oMath>
        <m:box>
          <m:boxPr>
            <m:ctrlPr>
              <w:rPr>
                <w:rFonts w:ascii="Cambria Math" w:hAnsi="Cambria Math"/>
              </w:rPr>
            </m:ctrlPr>
          </m:boxPr>
          <m:e>
            <m:r>
              <m:rPr/>
              <w:rPr>
                <w:rFonts w:ascii="Cambria Math" w:hAnsi="Cambria Math"/>
              </w:rPr>
              <m:t>y</m:t>
            </m:r>
            <m:ctrlPr>
              <w:rPr>
                <w:rFonts w:ascii="Cambria Math" w:hAnsi="Cambria Math"/>
              </w:rPr>
            </m:ctrlPr>
          </m:e>
        </m:box>
      </m:oMath>
      <w:r>
        <w:rPr>
          <w:rFonts w:ascii="微软雅黑" w:hAnsi="微软雅黑" w:eastAsia="微软雅黑"/>
          <w:sz w:val="18"/>
          <w:szCs w:val="18"/>
        </w:rPr>
        <w:t>（支持多标签）及各类别置信度；</w:t>
      </w:r>
    </w:p>
    <w:p w14:paraId="4D607B4E">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异常定位结果 </w:t>
      </w:r>
      <m:oMath>
        <m:box>
          <m:boxPr>
            <m:ctrlPr>
              <w:rPr>
                <w:rFonts w:ascii="Cambria Math" w:hAnsi="Cambria Math"/>
              </w:rPr>
            </m:ctrlPr>
          </m:boxPr>
          <m:e>
            <m:r>
              <m:rPr>
                <m:scr m:val="script"/>
              </m:rPr>
              <w:rPr>
                <w:rFonts w:ascii="Cambria Math" w:hAnsi="Cambria Math"/>
              </w:rPr>
              <m:t>ℛ</m:t>
            </m:r>
            <m:ctrlPr>
              <w:rPr>
                <w:rFonts w:ascii="Cambria Math" w:hAnsi="Cambria Math"/>
              </w:rPr>
            </m:ctrlPr>
          </m:e>
        </m:box>
      </m:oMath>
      <w:r>
        <w:rPr>
          <w:rFonts w:ascii="微软雅黑" w:hAnsi="微软雅黑" w:eastAsia="微软雅黑"/>
          <w:sz w:val="18"/>
          <w:szCs w:val="18"/>
        </w:rPr>
        <w:t>（顶点集/连通域/骨骼影响域）；</w:t>
      </w:r>
    </w:p>
    <w:p w14:paraId="09674AF0">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数据处理动作 </w:t>
      </w:r>
      <m:oMath>
        <m:box>
          <m:boxPr>
            <m:ctrlPr>
              <w:rPr>
                <w:rFonts w:ascii="Cambria Math" w:hAnsi="Cambria Math"/>
              </w:rPr>
            </m:ctrlPr>
          </m:boxPr>
          <m:e>
            <m:r>
              <m:rPr/>
              <w:rPr>
                <w:rFonts w:ascii="Cambria Math" w:hAnsi="Cambria Math"/>
              </w:rPr>
              <m:t>a</m:t>
            </m:r>
            <m:r>
              <m:rPr>
                <m:sty m:val="p"/>
              </m:rPr>
              <w:rPr>
                <w:rFonts w:ascii="Cambria Math" w:hAnsi="Cambria Math"/>
              </w:rPr>
              <m:t>∈{</m:t>
            </m:r>
            <m:r>
              <m:rPr>
                <m:nor/>
                <m:sty m:val="p"/>
              </m:rPr>
              <w:rPr>
                <w:b w:val="0"/>
                <w:i w:val="0"/>
              </w:rPr>
              <m:t>保留, 剔除, 降权, 重采样</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及执行日志。</w:t>
      </w:r>
    </w:p>
    <w:p w14:paraId="5AB2865E">
      <w:pPr>
        <w:spacing w:line="276" w:lineRule="auto"/>
        <w:rPr>
          <w:rFonts w:hint="eastAsia" w:ascii="微软雅黑" w:hAnsi="微软雅黑" w:eastAsia="微软雅黑"/>
          <w:sz w:val="18"/>
          <w:szCs w:val="18"/>
        </w:rPr>
      </w:pPr>
      <w:r>
        <w:rPr>
          <w:rFonts w:ascii="微软雅黑" w:hAnsi="微软雅黑" w:eastAsia="微软雅黑"/>
          <w:sz w:val="18"/>
          <w:szCs w:val="18"/>
        </w:rPr>
        <w:t>4.2.2 可插拔指标计算</w:t>
      </w:r>
    </w:p>
    <w:p w14:paraId="0DD9B24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本发明定义至少以下五类可插拔指标</w:t>
      </w:r>
      <w:r>
        <w:commentReference w:id="3"/>
      </w:r>
      <w:commentRangeStart w:id="24"/>
      <w:commentRangeEnd w:id="24"/>
      <w:r>
        <w:commentReference w:id="24"/>
      </w:r>
      <w:r>
        <w:rPr>
          <w:rFonts w:ascii="微软雅黑" w:hAnsi="微软雅黑" w:eastAsia="微软雅黑"/>
          <w:sz w:val="18"/>
          <w:szCs w:val="18"/>
        </w:rPr>
        <w:t>：</w:t>
      </w:r>
    </w:p>
    <w:p w14:paraId="7399C188">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指标1：穿插指标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pen</m:t>
                    </m:r>
                    <m:ctrlPr>
                      <w:rPr>
                        <w:rFonts w:ascii="Cambria Math" w:hAnsi="Cambria Math"/>
                      </w:rPr>
                    </m:ctrlPr>
                  </m:e>
                </m:box>
                <m:ctrlPr>
                  <w:rPr>
                    <w:rFonts w:ascii="Cambria Math" w:hAnsi="Cambria Math"/>
                  </w:rPr>
                </m:ctrlPr>
              </m:sub>
            </m:sSub>
            <m:ctrlPr>
              <w:rPr>
                <w:rFonts w:ascii="Cambria Math" w:hAnsi="Cambria Math"/>
              </w:rPr>
            </m:ctrlPr>
          </m:e>
        </m:box>
      </m:oMath>
    </w:p>
    <w:p w14:paraId="6CA279E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基于几何体相交深度 </w:t>
      </w:r>
      <m:oMath>
        <m:box>
          <m:boxPr>
            <m:ctrlPr>
              <w:rPr>
                <w:rFonts w:ascii="Cambria Math" w:hAnsi="Cambria Math"/>
              </w:rPr>
            </m:ctrlPr>
          </m:boxPr>
          <m:e>
            <m:r>
              <m:rPr/>
              <w:rPr>
                <w:rFonts w:ascii="Cambria Math" w:hAnsi="Cambria Math"/>
              </w:rPr>
              <m:t>d</m:t>
            </m:r>
            <m:ctrlPr>
              <w:rPr>
                <w:rFonts w:ascii="Cambria Math" w:hAnsi="Cambria Math"/>
              </w:rPr>
            </m:ctrlPr>
          </m:e>
        </m:box>
      </m:oMath>
      <w:r>
        <w:rPr>
          <w:rFonts w:ascii="微软雅黑" w:hAnsi="微软雅黑" w:eastAsia="微软雅黑"/>
          <w:sz w:val="18"/>
          <w:szCs w:val="18"/>
        </w:rPr>
        <w:t xml:space="preserve">、相交面积 </w:t>
      </w:r>
      <m:oMath>
        <m:box>
          <m:boxPr>
            <m:ctrlPr>
              <w:rPr>
                <w:rFonts w:ascii="Cambria Math" w:hAnsi="Cambria Math"/>
              </w:rPr>
            </m:ctrlPr>
          </m:boxPr>
          <m:e>
            <m:r>
              <m:rPr/>
              <w:rPr>
                <w:rFonts w:ascii="Cambria Math" w:hAnsi="Cambria Math"/>
              </w:rPr>
              <m:t>a</m:t>
            </m:r>
            <m:ctrlPr>
              <w:rPr>
                <w:rFonts w:ascii="Cambria Math" w:hAnsi="Cambria Math"/>
              </w:rPr>
            </m:ctrlPr>
          </m:e>
        </m:box>
      </m:oMath>
      <w:r>
        <w:rPr>
          <w:rFonts w:ascii="微软雅黑" w:hAnsi="微软雅黑" w:eastAsia="微软雅黑"/>
          <w:sz w:val="18"/>
          <w:szCs w:val="18"/>
        </w:rPr>
        <w:t xml:space="preserve"> 和持续帧数 </w:t>
      </w:r>
      <m:oMath>
        <m:box>
          <m:boxPr>
            <m:ctrlPr>
              <w:rPr>
                <w:rFonts w:ascii="Cambria Math" w:hAnsi="Cambria Math"/>
              </w:rPr>
            </m:ctrlPr>
          </m:boxPr>
          <m:e>
            <m:r>
              <m:rPr/>
              <w:rPr>
                <w:rFonts w:ascii="Cambria Math" w:hAnsi="Cambria Math"/>
              </w:rPr>
              <m:t>c</m:t>
            </m:r>
            <m:ctrlPr>
              <w:rPr>
                <w:rFonts w:ascii="Cambria Math" w:hAnsi="Cambria Math"/>
              </w:rPr>
            </m:ctrlPr>
          </m:e>
        </m:box>
      </m:oMath>
      <w:r>
        <w:rPr>
          <w:rFonts w:ascii="微软雅黑" w:hAnsi="微软雅黑" w:eastAsia="微软雅黑"/>
          <w:sz w:val="18"/>
          <w:szCs w:val="18"/>
        </w:rPr>
        <w:t xml:space="preserve"> 联合计算：</w:t>
      </w:r>
    </w:p>
    <w:p w14:paraId="302AE07E">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pen</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d</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a</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c</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ctrlPr>
                <w:rPr>
                  <w:rFonts w:ascii="Cambria Math" w:hAnsi="Cambria Math"/>
                </w:rPr>
              </m:ctrlPr>
            </m:e>
          </m:box>
        </m:oMath>
      </m:oMathPara>
    </w:p>
    <w:p w14:paraId="77F3125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m:sty m:val="p"/>
                      </m:rPr>
                      <w:rPr>
                        <w:rFonts w:ascii="Cambria Math" w:hAnsi="Cambria Math"/>
                      </w:rPr>
                      <m:t>·</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表示按各自参数范围归一化后的量。具体地，相交深度 </w:t>
      </w:r>
      <m:oMath>
        <m:box>
          <m:boxPr>
            <m:ctrlPr>
              <w:rPr>
                <w:rFonts w:ascii="Cambria Math" w:hAnsi="Cambria Math"/>
              </w:rPr>
            </m:ctrlPr>
          </m:boxPr>
          <m:e>
            <m:r>
              <m:rPr/>
              <w:rPr>
                <w:rFonts w:ascii="Cambria Math" w:hAnsi="Cambria Math"/>
              </w:rPr>
              <m:t>d</m:t>
            </m:r>
            <m:ctrlPr>
              <w:rPr>
                <w:rFonts w:ascii="Cambria Math" w:hAnsi="Cambria Math"/>
              </w:rPr>
            </m:ctrlPr>
          </m:e>
        </m:box>
      </m:oMath>
      <w:r>
        <w:rPr>
          <w:rFonts w:ascii="微软雅黑" w:hAnsi="微软雅黑" w:eastAsia="微软雅黑"/>
          <w:sz w:val="18"/>
          <w:szCs w:val="18"/>
        </w:rPr>
        <w:t xml:space="preserve"> 定义为沿接触法线方向两物体最大穿透距离，通过对候选面片对执行最近点投影并取有符号距离的负值部分获得；相交面积 </w:t>
      </w:r>
      <m:oMath>
        <m:box>
          <m:boxPr>
            <m:ctrlPr>
              <w:rPr>
                <w:rFonts w:ascii="Cambria Math" w:hAnsi="Cambria Math"/>
              </w:rPr>
            </m:ctrlPr>
          </m:boxPr>
          <m:e>
            <m:r>
              <m:rPr/>
              <w:rPr>
                <w:rFonts w:ascii="Cambria Math" w:hAnsi="Cambria Math"/>
              </w:rPr>
              <m:t>a</m:t>
            </m:r>
            <m:ctrlPr>
              <w:rPr>
                <w:rFonts w:ascii="Cambria Math" w:hAnsi="Cambria Math"/>
              </w:rPr>
            </m:ctrlPr>
          </m:e>
        </m:box>
      </m:oMath>
      <w:r>
        <w:rPr>
          <w:rFonts w:ascii="微软雅黑" w:hAnsi="微软雅黑" w:eastAsia="微软雅黑"/>
          <w:sz w:val="18"/>
          <w:szCs w:val="18"/>
        </w:rPr>
        <w:t xml:space="preserve"> 由所有穿透面片的三角形面积之和近似；持续帧贡献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c</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=min(1,</m:t>
            </m:r>
            <m:r>
              <m:rPr/>
              <w:rPr>
                <w:rFonts w:ascii="Cambria Math" w:hAnsi="Cambria Math"/>
              </w:rPr>
              <m:t>c</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，其中 </w:t>
      </w:r>
      <m:oMath>
        <m:box>
          <m:boxPr>
            <m:ctrlPr>
              <w:rPr>
                <w:rFonts w:ascii="Cambria Math" w:hAnsi="Cambria Math"/>
              </w:rPr>
            </m:ctrlPr>
          </m:box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为持续帧饱和阈值（典型值5-15帧）。权重典型取值为 </w:t>
      </w:r>
      <m:oMath>
        <m:box>
          <m:boxPr>
            <m:ctrlPr>
              <w:rPr>
                <w:rFonts w:ascii="Cambria Math" w:hAnsi="Cambria Math"/>
              </w:rPr>
            </m:ctrlPr>
          </m:box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=0.4,</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=0.35,</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=0.25</m:t>
            </m:r>
            <m:ctrlPr>
              <w:rPr>
                <w:rFonts w:ascii="Cambria Math" w:hAnsi="Cambria Math"/>
              </w:rPr>
            </m:ctrlPr>
          </m:e>
        </m:box>
      </m:oMath>
      <w:r>
        <w:rPr>
          <w:rFonts w:ascii="微软雅黑" w:hAnsi="微软雅黑" w:eastAsia="微软雅黑"/>
          <w:sz w:val="18"/>
          <w:szCs w:val="18"/>
        </w:rPr>
        <w:t>，使深度异常在评分中占主导。</w:t>
      </w:r>
    </w:p>
    <w:p w14:paraId="4312B7BE">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指标2：粘连指标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stick</m:t>
                    </m:r>
                    <m:ctrlPr>
                      <w:rPr>
                        <w:rFonts w:ascii="Cambria Math" w:hAnsi="Cambria Math"/>
                      </w:rPr>
                    </m:ctrlPr>
                  </m:e>
                </m:box>
                <m:ctrlPr>
                  <w:rPr>
                    <w:rFonts w:ascii="Cambria Math" w:hAnsi="Cambria Math"/>
                  </w:rPr>
                </m:ctrlPr>
              </m:sub>
            </m:sSub>
            <m:ctrlPr>
              <w:rPr>
                <w:rFonts w:ascii="Cambria Math" w:hAnsi="Cambria Math"/>
              </w:rPr>
            </m:ctrlPr>
          </m:e>
        </m:box>
      </m:oMath>
    </w:p>
    <w:p w14:paraId="401FD9DA">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基于持续近距离、相对速度一致性（低相对速度模长）和法线一致性（法线夹角保持稳定）联合建模：</w:t>
      </w:r>
    </w:p>
    <w:p w14:paraId="20F55444">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stick</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s</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n</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n</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limUpp>
                <m:limUppPr>
                  <m:ctrlPr>
                    <w:rPr>
                      <w:rFonts w:ascii="Cambria Math" w:hAnsi="Cambria Math"/>
                    </w:rPr>
                  </m:ctrlPr>
                </m:limUppPr>
                <m:e>
                  <m:box>
                    <m:boxPr>
                      <m:ctrlPr>
                        <w:rPr>
                          <w:rFonts w:ascii="Cambria Math" w:hAnsi="Cambria Math"/>
                        </w:rPr>
                      </m:ctrlPr>
                    </m:boxPr>
                    <m:e>
                      <m:r>
                        <m:rPr/>
                        <w:rPr>
                          <w:rFonts w:ascii="Cambria Math" w:hAnsi="Cambria Math"/>
                        </w:rPr>
                        <m:t>k</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ctrlPr>
                <w:rPr>
                  <w:rFonts w:ascii="Cambria Math" w:hAnsi="Cambria Math"/>
                </w:rPr>
              </m:ctrlPr>
            </m:e>
          </m:box>
        </m:oMath>
      </m:oMathPara>
    </w:p>
    <w:p w14:paraId="7EAE86E5">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limUpp>
              <m:limUppPr>
                <m:ctrlPr>
                  <w:rPr>
                    <w:rFonts w:ascii="Cambria Math" w:hAnsi="Cambria Math"/>
                  </w:rPr>
                </m:ctrlPr>
              </m:limUppPr>
              <m:e>
                <m:box>
                  <m:boxPr>
                    <m:ctrlPr>
                      <w:rPr>
                        <w:rFonts w:ascii="Cambria Math" w:hAnsi="Cambria Math"/>
                      </w:rPr>
                    </m:ctrlPr>
                  </m:boxPr>
                  <m:e>
                    <m:r>
                      <m:rPr/>
                      <w:rPr>
                        <w:rFonts w:ascii="Cambria Math" w:hAnsi="Cambria Math"/>
                      </w:rPr>
                      <m:t>s</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分别为归一化距离、速度和滑移量，</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n</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为法线一致性项，</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k</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为</w:t>
      </w:r>
      <w:commentRangeStart w:id="4"/>
      <w:r>
        <w:rPr>
          <w:rFonts w:ascii="微软雅黑" w:hAnsi="微软雅黑" w:eastAsia="微软雅黑"/>
          <w:sz w:val="18"/>
          <w:szCs w:val="18"/>
        </w:rPr>
        <w:t>持续帧计数项</w:t>
      </w:r>
      <w:commentRangeEnd w:id="4"/>
      <w:r>
        <w:commentReference w:id="4"/>
      </w:r>
      <w:commentRangeStart w:id="25"/>
      <w:commentRangeEnd w:id="25"/>
      <w:r>
        <w:commentReference w:id="25"/>
      </w:r>
      <w:r>
        <w:rPr>
          <w:rFonts w:ascii="微软雅黑" w:hAnsi="微软雅黑" w:eastAsia="微软雅黑"/>
          <w:sz w:val="18"/>
          <w:szCs w:val="18"/>
        </w:rPr>
        <w:t xml:space="preserve">。各项物理含义如下：归一化距离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box>
              <m:boxPr>
                <m:ctrlPr>
                  <w:rPr>
                    <w:rFonts w:ascii="Cambria Math" w:hAnsi="Cambria Math"/>
                  </w:rPr>
                </m:ctrlPr>
              </m:boxPr>
              <m:e>
                <m:r>
                  <m:rPr>
                    <m:sty m:val="p"/>
                  </m:rPr>
                  <w:rPr>
                    <w:rFonts w:ascii="Cambria Math" w:hAnsi="Cambria Math"/>
                  </w:rPr>
                  <m:t>clip</m:t>
                </m:r>
                <m:ctrlPr>
                  <w:rPr>
                    <w:rFonts w:ascii="Cambria Math" w:hAnsi="Cambria Math"/>
                  </w:rPr>
                </m:ctrlPr>
              </m:e>
            </m:box>
            <m:r>
              <m:rPr>
                <m:sty m:val="p"/>
              </m:rPr>
              <w:rPr>
                <w:rFonts w:ascii="Cambria Math" w:hAnsi="Cambria Math"/>
              </w:rPr>
              <m:t>(</m:t>
            </m:r>
            <m:r>
              <m:rPr/>
              <w:rPr>
                <w:rFonts w:ascii="Cambria Math" w:hAnsi="Cambria Math"/>
              </w:rPr>
              <m:t>q</m:t>
            </m:r>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q</m:t>
                </m:r>
                <m:ctrlPr>
                  <w:rPr>
                    <w:rFonts w:ascii="Cambria Math" w:hAnsi="Cambria Math"/>
                  </w:rPr>
                </m:ctrlPr>
              </m:sub>
              <m:sup>
                <m:box>
                  <m:boxPr>
                    <m:ctrlPr>
                      <w:rPr>
                        <w:rFonts w:ascii="Cambria Math" w:hAnsi="Cambria Math"/>
                      </w:rPr>
                    </m:ctrlPr>
                  </m:boxPr>
                  <m:e>
                    <m:r>
                      <m:rPr>
                        <m:nor/>
                        <m:sty m:val="p"/>
                      </m:rPr>
                      <w:rPr>
                        <w:b w:val="0"/>
                        <w:i w:val="0"/>
                      </w:rPr>
                      <m:t>max</m:t>
                    </m:r>
                    <m:ctrlPr>
                      <w:rPr>
                        <w:rFonts w:ascii="Cambria Math" w:hAnsi="Cambria Math"/>
                      </w:rPr>
                    </m:ctrlPr>
                  </m:e>
                </m:box>
                <m:ctrlPr>
                  <w:rPr>
                    <w:rFonts w:ascii="Cambria Math" w:hAnsi="Cambria Math"/>
                  </w:rPr>
                </m:ctrlPr>
              </m:sup>
            </m:sSubSup>
            <m:r>
              <m:rPr>
                <m:sty m:val="p"/>
              </m:rPr>
              <w:rPr>
                <w:rFonts w:ascii="Cambria Math" w:hAnsi="Cambria Math"/>
              </w:rPr>
              <m:t>,0,1)</m:t>
            </m:r>
            <m:ctrlPr>
              <w:rPr>
                <w:rFonts w:ascii="Cambria Math" w:hAnsi="Cambria Math"/>
              </w:rPr>
            </m:ctrlPr>
          </m:e>
        </m:box>
      </m:oMath>
      <w:r>
        <w:rPr>
          <w:rFonts w:ascii="微软雅黑" w:hAnsi="微软雅黑" w:eastAsia="微软雅黑"/>
          <w:sz w:val="18"/>
          <w:szCs w:val="18"/>
        </w:rPr>
        <w:t xml:space="preserve">，当两对象间距小于 </w:t>
      </w:r>
      <m:oMath>
        <m:box>
          <m:boxPr>
            <m:ctrlPr>
              <w:rPr>
                <w:rFonts w:ascii="Cambria Math" w:hAnsi="Cambria Math"/>
              </w:rPr>
            </m:ctrlPr>
          </m:box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q</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（典型值0.5-2mm）时开始贡献粘连分数；归一化相对速度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box>
              <m:boxPr>
                <m:ctrlPr>
                  <w:rPr>
                    <w:rFonts w:ascii="Cambria Math" w:hAnsi="Cambria Math"/>
                  </w:rPr>
                </m:ctrlPr>
              </m:boxPr>
              <m:e>
                <m:r>
                  <m:rPr>
                    <m:sty m:val="p"/>
                  </m:rPr>
                  <w:rPr>
                    <w:rFonts w:ascii="Cambria Math" w:hAnsi="Cambria Math"/>
                  </w:rPr>
                  <m:t>clip</m:t>
                </m:r>
                <m:ctrlPr>
                  <w:rPr>
                    <w:rFonts w:ascii="Cambria Math" w:hAnsi="Cambria Math"/>
                  </w:rPr>
                </m:ctrlPr>
              </m:e>
            </m:box>
            <m:r>
              <m:rPr>
                <m:sty m:val="p"/>
              </m:rPr>
              <w:rPr>
                <w:rFonts w:ascii="Cambria Math" w:hAnsi="Cambria Math"/>
              </w:rPr>
              <m:t>(‖</m:t>
            </m:r>
            <w:commentRangeStart w:id="5"/>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B</m:t>
                </m:r>
                <m:ctrlPr>
                  <w:rPr>
                    <w:rFonts w:ascii="Cambria Math" w:hAnsi="Cambria Math"/>
                  </w:rPr>
                </m:ctrlPr>
              </m:sub>
            </m:sSub>
            <w:commentRangeEnd w:id="5"/>
            <m:r>
              <m:rPr>
                <m:sty m:val="p"/>
              </m:rPr>
              <w:commentReference w:id="5"/>
            </m:r>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m:nor/>
                        <m:sty m:val="p"/>
                      </m:rPr>
                      <w:rPr>
                        <w:b w:val="0"/>
                        <w:i w:val="0"/>
                      </w:rPr>
                      <m:t>ref</m:t>
                    </m:r>
                    <m:ctrlPr>
                      <w:rPr>
                        <w:rFonts w:ascii="Cambria Math" w:hAnsi="Cambria Math"/>
                      </w:rPr>
                    </m:ctrlPr>
                  </m:e>
                </m:box>
                <m:ctrlPr>
                  <w:rPr>
                    <w:rFonts w:ascii="Cambria Math" w:hAnsi="Cambria Math"/>
                  </w:rPr>
                </m:ctrlPr>
              </m:sub>
            </m:sSub>
            <m:r>
              <m:rPr>
                <m:sty m:val="p"/>
              </m:rPr>
              <w:rPr>
                <w:rFonts w:ascii="Cambria Math" w:hAnsi="Cambria Math"/>
              </w:rPr>
              <m:t>,0,1)</m:t>
            </m:r>
            <m:ctrlPr>
              <w:rPr>
                <w:rFonts w:ascii="Cambria Math" w:hAnsi="Cambria Math"/>
              </w:rPr>
            </m:ctrlPr>
          </m:e>
        </m:box>
      </m:oMath>
      <w:r>
        <w:rPr>
          <w:rFonts w:ascii="微软雅黑" w:hAnsi="微软雅黑" w:eastAsia="微软雅黑"/>
          <w:sz w:val="18"/>
          <w:szCs w:val="18"/>
        </w:rPr>
        <w:t>，其中</w:t>
      </w:r>
      <w:commentRangeStart w:id="26"/>
      <w:commentRangeEnd w:id="26"/>
      <w:r>
        <w:commentReference w:id="26"/>
      </w:r>
      <w:commentRangeStart w:id="6"/>
      <w:r>
        <w:rPr>
          <w:rFonts w:ascii="微软雅黑" w:hAnsi="微软雅黑" w:eastAsia="微软雅黑"/>
          <w:sz w:val="18"/>
          <w:szCs w:val="18"/>
        </w:rPr>
        <w:t xml:space="preserve"> </w:t>
      </w:r>
      <m:oMath>
        <m:box>
          <m:boxPr>
            <m:ctrlPr>
              <w:rPr>
                <w:rFonts w:ascii="Cambria Math" w:hAnsi="Cambria Math"/>
              </w:rPr>
            </m:ctrlPr>
          </m:boxPr>
          <m:e>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m:nor/>
                        <m:sty m:val="p"/>
                      </m:rPr>
                      <w:rPr>
                        <w:b w:val="0"/>
                        <w:i w:val="0"/>
                      </w:rPr>
                      <m:t>ref</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w:t>
      </w:r>
      <w:commentRangeEnd w:id="6"/>
      <w:r>
        <w:commentReference w:id="6"/>
      </w:r>
      <w:commentRangeStart w:id="27"/>
      <w:commentRangeEnd w:id="27"/>
      <w:r>
        <w:commentReference w:id="27"/>
      </w:r>
      <w:r>
        <w:rPr>
          <w:rFonts w:ascii="微软雅黑" w:hAnsi="微软雅黑" w:eastAsia="微软雅黑"/>
          <w:sz w:val="18"/>
          <w:szCs w:val="18"/>
        </w:rPr>
        <w:t xml:space="preserve">为全局平均运动速度，低相对速度意味着两面片"同步运动"，粘连特征越强；切向滑移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s</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通过将接触点在切平面上的帧间位移投影累加并归一化得到，滑移越小说明无法"滑开"，粘连越严重。权重典型取值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=0.25,</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=0.2,</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=0.2,</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=0.15,</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=0.2</m:t>
            </m:r>
            <m:ctrlPr>
              <w:rPr>
                <w:rFonts w:ascii="Cambria Math" w:hAnsi="Cambria Math"/>
              </w:rPr>
            </m:ctrlPr>
          </m:e>
        </m:box>
      </m:oMath>
      <w:r>
        <w:rPr>
          <w:rFonts w:ascii="微软雅黑" w:hAnsi="微软雅黑" w:eastAsia="微软雅黑"/>
          <w:sz w:val="18"/>
          <w:szCs w:val="18"/>
        </w:rPr>
        <w:t>。</w:t>
      </w:r>
    </w:p>
    <w:p w14:paraId="087A095D">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指标3：共线/翻折指标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col</m:t>
                    </m:r>
                    <m:ctrlPr>
                      <w:rPr>
                        <w:rFonts w:ascii="Cambria Math" w:hAnsi="Cambria Math"/>
                      </w:rPr>
                    </m:ctrlPr>
                  </m:e>
                </m:box>
                <m:ctrlPr>
                  <w:rPr>
                    <w:rFonts w:ascii="Cambria Math" w:hAnsi="Cambria Math"/>
                  </w:rPr>
                </m:ctrlPr>
              </m:sub>
            </m:sSub>
            <m:ctrlPr>
              <w:rPr>
                <w:rFonts w:ascii="Cambria Math" w:hAnsi="Cambria Math"/>
              </w:rPr>
            </m:ctrlPr>
          </m:e>
        </m:box>
      </m:oMath>
    </w:p>
    <w:p w14:paraId="4CC5E62A">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共线/翻折指标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col</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基于分离轴定理（SAT），通过计算</w:t>
      </w:r>
      <w:commentRangeStart w:id="7"/>
      <w:r>
        <w:rPr>
          <w:rFonts w:ascii="微软雅黑" w:hAnsi="微软雅黑" w:eastAsia="微软雅黑"/>
          <w:sz w:val="18"/>
          <w:szCs w:val="18"/>
        </w:rPr>
        <w:t>顶点群组</w:t>
      </w:r>
      <w:commentRangeEnd w:id="7"/>
      <w:r>
        <w:commentReference w:id="7"/>
      </w:r>
      <w:commentRangeStart w:id="28"/>
      <w:commentRangeEnd w:id="28"/>
      <w:r>
        <w:commentReference w:id="28"/>
      </w:r>
      <w:r>
        <w:rPr>
          <w:rFonts w:ascii="微软雅黑" w:hAnsi="微软雅黑" w:eastAsia="微软雅黑"/>
          <w:sz w:val="18"/>
          <w:szCs w:val="18"/>
        </w:rPr>
        <w:t>在</w:t>
      </w:r>
      <w:commentRangeStart w:id="8"/>
      <w:r>
        <w:rPr>
          <w:rFonts w:ascii="微软雅黑" w:hAnsi="微软雅黑" w:eastAsia="微软雅黑"/>
          <w:sz w:val="18"/>
          <w:szCs w:val="18"/>
        </w:rPr>
        <w:t>候选轴</w:t>
      </w:r>
      <w:commentRangeEnd w:id="8"/>
      <w:r>
        <w:commentReference w:id="8"/>
      </w:r>
      <w:commentRangeStart w:id="29"/>
      <w:commentRangeEnd w:id="29"/>
      <w:r>
        <w:commentReference w:id="29"/>
      </w:r>
      <w:r>
        <w:rPr>
          <w:rFonts w:ascii="微软雅黑" w:hAnsi="微软雅黑" w:eastAsia="微软雅黑"/>
          <w:sz w:val="18"/>
          <w:szCs w:val="18"/>
        </w:rPr>
        <w:t xml:space="preserve">上的投影重叠比 </w:t>
      </w:r>
      <m:oMath>
        <m:box>
          <m:boxPr>
            <m:ctrlPr>
              <w:rPr>
                <w:rFonts w:ascii="Cambria Math" w:hAnsi="Cambria Math"/>
              </w:rPr>
            </m:ctrlPr>
          </m:boxPr>
          <m:e>
            <m:r>
              <m:rPr/>
              <w:rPr>
                <w:rFonts w:ascii="Cambria Math" w:hAnsi="Cambria Math"/>
              </w:rPr>
              <m:t>r</m:t>
            </m:r>
            <m:ctrlPr>
              <w:rPr>
                <w:rFonts w:ascii="Cambria Math" w:hAnsi="Cambria Math"/>
              </w:rPr>
            </m:ctrlPr>
          </m:e>
        </m:box>
      </m:oMath>
      <w:r>
        <w:rPr>
          <w:rFonts w:ascii="微软雅黑" w:hAnsi="微软雅黑" w:eastAsia="微软雅黑"/>
          <w:sz w:val="18"/>
          <w:szCs w:val="18"/>
        </w:rPr>
        <w:t xml:space="preserve"> 与分离裕量 </w:t>
      </w:r>
      <w:commentRangeStart w:id="9"/>
      <m:oMath>
        <m:box>
          <m:boxPr>
            <m:ctrlPr>
              <w:rPr>
                <w:rFonts w:ascii="Cambria Math" w:hAnsi="Cambria Math"/>
              </w:rPr>
            </m:ctrlPr>
          </m:boxPr>
          <m:e>
            <m:r>
              <m:rPr/>
              <w:rPr>
                <w:rFonts w:ascii="Cambria Math" w:hAnsi="Cambria Math"/>
              </w:rPr>
              <m:t>δ</m:t>
            </m:r>
            <m:ctrlPr>
              <w:rPr>
                <w:rFonts w:ascii="Cambria Math" w:hAnsi="Cambria Math"/>
              </w:rPr>
            </m:ctrlPr>
          </m:e>
        </m:box>
      </m:oMath>
      <w:r>
        <w:rPr>
          <w:rFonts w:ascii="微软雅黑" w:hAnsi="微软雅黑" w:eastAsia="微软雅黑"/>
          <w:sz w:val="18"/>
          <w:szCs w:val="18"/>
        </w:rPr>
        <w:t xml:space="preserve"> </w:t>
      </w:r>
      <w:commentRangeEnd w:id="9"/>
      <w:r>
        <w:commentReference w:id="9"/>
      </w:r>
      <w:commentRangeStart w:id="30"/>
      <w:commentRangeEnd w:id="30"/>
      <w:r>
        <w:commentReference w:id="30"/>
      </w:r>
      <w:r>
        <w:rPr>
          <w:rFonts w:ascii="微软雅黑" w:hAnsi="微软雅黑" w:eastAsia="微软雅黑"/>
          <w:sz w:val="18"/>
          <w:szCs w:val="18"/>
        </w:rPr>
        <w:t xml:space="preserve">判定共线异常。令投影区间重叠比 </w:t>
      </w:r>
      <m:oMath>
        <m:box>
          <m:boxPr>
            <m:ctrlPr>
              <w:rPr>
                <w:rFonts w:ascii="Cambria Math" w:hAnsi="Cambria Math"/>
              </w:rPr>
            </m:ctrlPr>
          </m:boxPr>
          <m:e>
            <m:r>
              <m:rPr/>
              <w:rPr>
                <w:rFonts w:ascii="Cambria Math" w:hAnsi="Cambria Math"/>
              </w:rPr>
              <m:t>r</m:t>
            </m:r>
            <m:r>
              <m:rPr>
                <m:sty m:val="p"/>
              </m:rPr>
              <w:rPr>
                <w:rFonts w:ascii="Cambria Math" w:hAnsi="Cambria Math"/>
              </w:rPr>
              <m:t>(</m:t>
            </m:r>
            <w:commentRangeStart w:id="10"/>
            <m:r>
              <m:rPr/>
              <w:rPr>
                <w:rFonts w:ascii="Cambria Math" w:hAnsi="Cambria Math"/>
              </w:rPr>
              <m:t>a</m:t>
            </m:r>
            <w:commentRangeEnd w:id="10"/>
            <m:r>
              <m:rPr>
                <m:sty m:val="p"/>
              </m:rPr>
              <w:commentReference w:id="10"/>
            </m:r>
            <m:r>
              <m:rPr>
                <m:sty m:val="p"/>
              </m:rPr>
              <w:rPr>
                <w:rFonts w:ascii="Cambria Math" w:hAnsi="Cambria Math"/>
              </w:rPr>
              <m:t>)=</m:t>
            </m:r>
            <m:box>
              <m:boxPr>
                <m:ctrlPr>
                  <w:rPr>
                    <w:rFonts w:ascii="Cambria Math" w:hAnsi="Cambria Math"/>
                  </w:rPr>
                </m:ctrlPr>
              </m:boxPr>
              <m:e>
                <m:r>
                  <m:rPr>
                    <m:sty m:val="p"/>
                  </m:rPr>
                  <w:rPr>
                    <w:rFonts w:ascii="Cambria Math" w:hAnsi="Cambria Math"/>
                  </w:rPr>
                  <m:t>overlap</m:t>
                </m:r>
                <m:ctrlPr>
                  <w:rPr>
                    <w:rFonts w:ascii="Cambria Math" w:hAnsi="Cambria Math"/>
                  </w:rPr>
                </m:ctrlPr>
              </m:e>
            </m:box>
            <w:commentRangeStart w:id="11"/>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w:commentRangeEnd w:id="11"/>
            <m:r>
              <m:rPr>
                <m:sty m:val="p"/>
              </m:rPr>
              <w:commentReference w:id="11"/>
            </m:r>
            <m:r>
              <m:rPr>
                <m:sty m:val="p"/>
              </m:rPr>
              <w:rPr>
                <w:rFonts w:ascii="Cambria Math" w:hAnsi="Cambria Math"/>
              </w:rPr>
              <m:t>)/min(|</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，当 </w:t>
      </w:r>
      <w:commentRangeStart w:id="32"/>
      <w:commentRangeEnd w:id="32"/>
      <w:r>
        <w:commentReference w:id="32"/>
      </w:r>
      <w:commentRangeStart w:id="31"/>
      <w:commentRangeEnd w:id="31"/>
      <w:r>
        <w:commentReference w:id="31"/>
      </w:r>
      <m:oMath>
        <m:box>
          <m:boxPr>
            <m:ctrlPr>
              <w:rPr>
                <w:rFonts w:ascii="Cambria Math" w:hAnsi="Cambria Math"/>
              </w:rPr>
            </m:ctrlPr>
          </m:boxPr>
          <m:e>
            <m:r>
              <m:rPr/>
              <w:rPr>
                <w:rFonts w:ascii="Cambria Math" w:hAnsi="Cambria Math"/>
              </w:rPr>
              <m:t>r</m:t>
            </m:r>
            <m:r>
              <m:rPr>
                <m:sty m:val="p"/>
              </m:rPr>
              <w:rPr>
                <w:rFonts w:ascii="Cambria Math" w:hAnsi="Cambria Math"/>
              </w:rPr>
              <m:t>&gt;</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（阈值）时判定为共线异常；</w:t>
      </w:r>
      <w:commentRangeStart w:id="12"/>
      <w:r>
        <w:rPr>
          <w:rFonts w:ascii="微软雅黑" w:hAnsi="微软雅黑" w:eastAsia="微软雅黑"/>
          <w:sz w:val="18"/>
          <w:szCs w:val="18"/>
        </w:rPr>
        <w:t xml:space="preserve">同时结合局部边链角度变化与曲率突变量，将各子项归一化后线性加权得到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col</m:t>
                    </m:r>
                    <m:ctrlPr>
                      <w:rPr>
                        <w:rFonts w:ascii="Cambria Math" w:hAnsi="Cambria Math"/>
                      </w:rPr>
                    </m:ctrlPr>
                  </m:e>
                </m:box>
                <m:ctrlPr>
                  <w:rPr>
                    <w:rFonts w:ascii="Cambria Math" w:hAnsi="Cambria Math"/>
                  </w:rPr>
                </m:ctrlPr>
              </m:sub>
            </m:sSub>
            <m:r>
              <m:rPr>
                <m:sty m:val="p"/>
              </m:rPr>
              <w:rPr>
                <w:rFonts w:ascii="Cambria Math" w:hAnsi="Cambria Math"/>
              </w:rPr>
              <m:t>∈[0,1]</m:t>
            </m:r>
            <m:ctrlPr>
              <w:rPr>
                <w:rFonts w:ascii="Cambria Math" w:hAnsi="Cambria Math"/>
              </w:rPr>
            </m:ctrlPr>
          </m:e>
        </m:box>
        <w:commentRangeEnd w:id="12"/>
        <m:r>
          <m:rPr>
            <m:sty m:val="p"/>
          </m:rPr>
          <w:commentReference w:id="12"/>
        </m:r>
      </m:oMath>
      <w:r>
        <w:rPr>
          <w:rFonts w:ascii="微软雅黑" w:hAnsi="微软雅黑" w:eastAsia="微软雅黑"/>
          <w:sz w:val="18"/>
          <w:szCs w:val="18"/>
        </w:rPr>
        <w:t>。本发明将该指标作为可插拔模块引用，完整实现参见并发专利03。</w:t>
      </w:r>
      <w:commentRangeStart w:id="33"/>
      <w:commentRangeEnd w:id="33"/>
      <w:r>
        <w:commentReference w:id="33"/>
      </w:r>
    </w:p>
    <w:p w14:paraId="5F1BA7A2">
      <w:pPr>
        <w:spacing w:line="276" w:lineRule="auto"/>
        <w:rPr>
          <w:rFonts w:hint="eastAsia" w:ascii="微软雅黑" w:hAnsi="微软雅黑" w:eastAsia="微软雅黑"/>
          <w:sz w:val="18"/>
          <w:szCs w:val="18"/>
        </w:rPr>
      </w:pPr>
      <w:r>
        <w:rPr>
          <w:rFonts w:ascii="微软雅黑" w:hAnsi="微软雅黑" w:eastAsia="微软雅黑"/>
          <w:b/>
          <w:bCs/>
          <w:sz w:val="18"/>
          <w:szCs w:val="18"/>
        </w:rPr>
        <w:t>说明：本指标为多专利协同体系中的共享检测模块，专利02在闭环评估框架中以插件方式集成该指标，专利03提供其完整数学推导与工程实现。</w:t>
      </w:r>
    </w:p>
    <w:p w14:paraId="42FACB8A">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指标4：能量异常指标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Sub>
            <m:ctrlPr>
              <w:rPr>
                <w:rFonts w:ascii="Cambria Math" w:hAnsi="Cambria Math"/>
              </w:rPr>
            </m:ctrlPr>
          </m:e>
        </m:box>
      </m:oMath>
    </w:p>
    <w:p w14:paraId="2A5F573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基于</w:t>
      </w:r>
      <w:commentRangeStart w:id="13"/>
      <w:r>
        <w:rPr>
          <w:rFonts w:ascii="微软雅黑" w:hAnsi="微软雅黑" w:eastAsia="微软雅黑"/>
          <w:sz w:val="18"/>
          <w:szCs w:val="18"/>
        </w:rPr>
        <w:t>相邻帧形变量变化率（局部应变能增量）或顶点速度方差</w:t>
      </w:r>
      <w:commentRangeEnd w:id="13"/>
      <w:r>
        <w:commentReference w:id="13"/>
      </w:r>
      <w:commentRangeStart w:id="34"/>
      <w:commentRangeEnd w:id="34"/>
      <w:r>
        <w:commentReference w:id="34"/>
      </w:r>
      <w:r>
        <w:rPr>
          <w:rFonts w:ascii="微软雅黑" w:hAnsi="微软雅黑" w:eastAsia="微软雅黑"/>
          <w:sz w:val="18"/>
          <w:szCs w:val="18"/>
        </w:rPr>
        <w:t>计算：</w:t>
      </w:r>
    </w:p>
    <w:p w14:paraId="26A25411">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ctrlPr>
                        <w:rPr>
                          <w:rFonts w:ascii="Cambria Math" w:hAnsi="Cambria Math"/>
                        </w:rPr>
                      </m:ctrlPr>
                    </m:e>
                  </m:box>
                  <m:ctrlPr>
                    <w:rPr>
                      <w:rFonts w:ascii="Cambria Math" w:hAnsi="Cambria Math"/>
                    </w:rPr>
                  </m:ctrlPr>
                </m:num>
                <m:den>
                  <m:box>
                    <m:boxPr>
                      <m:ctrlPr>
                        <w:rPr>
                          <w:rFonts w:ascii="Cambria Math" w:hAnsi="Cambria Math"/>
                        </w:rPr>
                      </m:ctrlPr>
                    </m:boxPr>
                    <m:e>
                      <m:r>
                        <m:rPr>
                          <m:sty m:val="p"/>
                        </m:rPr>
                        <w:rPr>
                          <w:rFonts w:ascii="Cambria Math" w:hAnsi="Cambria Math"/>
                        </w:rPr>
                        <m:t>|</m:t>
                      </m:r>
                      <m:r>
                        <m:rPr>
                          <m:scr m:val="script"/>
                        </m:rPr>
                        <w:rPr>
                          <w:rFonts w:ascii="Cambria Math" w:hAnsi="Cambria Math"/>
                        </w:rPr>
                        <m:t>N</m:t>
                      </m:r>
                      <m:r>
                        <m:rPr>
                          <m:sty m:val="p"/>
                        </m:rPr>
                        <w:rPr>
                          <w:rFonts w:ascii="Cambria Math" w:hAnsi="Cambria Math"/>
                        </w:rPr>
                        <m:t>(</m:t>
                      </m:r>
                      <m:r>
                        <m:rPr/>
                        <w:rPr>
                          <w:rFonts w:ascii="Cambria Math" w:hAnsi="Cambria Math"/>
                        </w:rPr>
                        <m:t>v</m:t>
                      </m:r>
                      <m:r>
                        <m:rPr>
                          <m:sty m:val="p"/>
                        </m:rPr>
                        <w:rPr>
                          <w:rFonts w:ascii="Cambria Math" w:hAnsi="Cambria Math"/>
                        </w:rPr>
                        <m:t>)|</m:t>
                      </m:r>
                      <m:ctrlPr>
                        <w:rPr>
                          <w:rFonts w:ascii="Cambria Math" w:hAnsi="Cambria Math"/>
                        </w:rPr>
                      </m:ctrlPr>
                    </m:e>
                  </m:box>
                  <m:ctrlPr>
                    <w:rPr>
                      <w:rFonts w:ascii="Cambria Math" w:hAnsi="Cambria Math"/>
                    </w:rPr>
                  </m:ctrlPr>
                </m:den>
              </m:f>
              <m:nary>
                <m:naryPr>
                  <m:chr m:val="∑"/>
                  <m:limLoc m:val="undOvr"/>
                  <m:supHide m:val="1"/>
                  <m:ctrlPr>
                    <w:rPr>
                      <w:rFonts w:ascii="Cambria Math" w:hAnsi="Cambria Math"/>
                    </w:rPr>
                  </m:ctrlPr>
                </m:naryPr>
                <m:sub>
                  <m:box>
                    <m:boxPr>
                      <m:ctrlPr>
                        <w:rPr>
                          <w:rFonts w:ascii="Cambria Math" w:hAnsi="Cambria Math"/>
                        </w:rPr>
                      </m:ctrlPr>
                    </m:boxPr>
                    <m:e>
                      <m:r>
                        <m:rPr/>
                        <w:rPr>
                          <w:rFonts w:ascii="Cambria Math" w:hAnsi="Cambria Math"/>
                        </w:rPr>
                        <m:t>u</m:t>
                      </m:r>
                      <m:r>
                        <m:rPr>
                          <m:sty m:val="p"/>
                        </m:rPr>
                        <w:rPr>
                          <w:rFonts w:ascii="Cambria Math" w:hAnsi="Cambria Math"/>
                        </w:rPr>
                        <m:t>∈</m:t>
                      </m:r>
                      <m:r>
                        <m:rPr>
                          <m:scr m:val="script"/>
                        </m:rPr>
                        <w:rPr>
                          <w:rFonts w:ascii="Cambria Math" w:hAnsi="Cambria Math"/>
                        </w:rPr>
                        <m:t>N</m:t>
                      </m:r>
                      <m:r>
                        <m:rPr>
                          <m:sty m:val="p"/>
                        </m:rPr>
                        <w:rPr>
                          <w:rFonts w:ascii="Cambria Math" w:hAnsi="Cambria Math"/>
                        </w:rPr>
                        <m:t>(</m:t>
                      </m:r>
                      <m:r>
                        <m:rPr/>
                        <w:rPr>
                          <w:rFonts w:ascii="Cambria Math" w:hAnsi="Cambria Math"/>
                        </w:rPr>
                        <m:t>v</m:t>
                      </m:r>
                      <m:r>
                        <m:rPr>
                          <m:sty m:val="p"/>
                        </m:rPr>
                        <w:rPr>
                          <w:rFonts w:ascii="Cambria Math" w:hAnsi="Cambria Math"/>
                        </w:rPr>
                        <m:t>)</m:t>
                      </m:r>
                      <m:ctrlPr>
                        <w:rPr>
                          <w:rFonts w:ascii="Cambria Math" w:hAnsi="Cambria Math"/>
                        </w:rPr>
                      </m:ctrlPr>
                    </m:e>
                  </m:box>
                  <m:ctrlPr>
                    <w:rPr>
                      <w:rFonts w:ascii="Cambria Math" w:hAnsi="Cambria Math"/>
                    </w:rPr>
                  </m:ctrlPr>
                </m:sub>
                <m:sup>
                  <m:ctrlPr>
                    <w:rPr>
                      <w:rFonts w:ascii="Cambria Math" w:hAnsi="Cambria Math"/>
                    </w:rPr>
                  </m:ctrlP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w:commentRangeStart w:id="14"/>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w:commentRangeEnd w:id="14"/>
                              <m:r>
                                <m:rPr>
                                  <m:sty m:val="p"/>
                                </m:rPr>
                                <w:commentReference w:id="14"/>
                              </m:r>
                              <m:r>
                                <m:rPr>
                                  <m:sty m:val="p"/>
                                </m:rPr>
                                <w:rPr>
                                  <w:rFonts w:ascii="Cambria Math" w:hAnsi="Cambria Math"/>
                                </w:rPr>
                                <m:t>‖</m:t>
                              </m:r>
                              <m:ctrlPr>
                                <w:rPr>
                                  <w:rFonts w:ascii="Cambria Math" w:hAnsi="Cambria Math"/>
                                </w:rPr>
                              </m:ctrlPr>
                            </m:e>
                          </m:box>
                          <m:ctrlPr>
                            <w:rPr>
                              <w:rFonts w:ascii="Cambria Math" w:hAnsi="Cambria Math"/>
                            </w:rPr>
                          </m:ctrlPr>
                        </m:e>
                      </m:d>
                      <m:ctrlPr>
                        <w:rPr>
                          <w:rFonts w:ascii="Cambria Math" w:hAnsi="Cambria Math"/>
                        </w:rPr>
                      </m:ctrlPr>
                    </m:e>
                  </m:box>
                  <m:r>
                    <m:rPr>
                      <m:sty m:val="p"/>
                    </m:rPr>
                    <w:rPr>
                      <w:rFonts w:ascii="Cambria Math" w:hAnsi="Cambria Math"/>
                    </w:rPr>
                    <m:t>.</m:t>
                  </m:r>
                  <m:ctrlPr>
                    <w:rPr>
                      <w:rFonts w:ascii="Cambria Math" w:hAnsi="Cambria Math"/>
                    </w:rPr>
                  </m:ctrlPr>
                </m:e>
              </m:nary>
              <m:ctrlPr>
                <w:rPr>
                  <w:rFonts w:ascii="Cambria Math" w:hAnsi="Cambria Math"/>
                </w:rPr>
              </m:ctrlPr>
            </m:e>
          </m:box>
        </m:oMath>
      </m:oMathPara>
    </w:p>
    <w:p w14:paraId="3C7FDDA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该指标反映顶点 </w:t>
      </w:r>
      <w:commentRangeStart w:id="35"/>
      <w:commentRangeEnd w:id="35"/>
      <w:r>
        <w:commentReference w:id="35"/>
      </w:r>
      <m:oMath>
        <m:box>
          <m:boxPr>
            <m:ctrlPr>
              <w:rPr>
                <w:rFonts w:ascii="Cambria Math" w:hAnsi="Cambria Math"/>
              </w:rPr>
            </m:ctrlPr>
          </m:boxPr>
          <m:e>
            <m:r>
              <m:rPr/>
              <w:rPr>
                <w:rFonts w:ascii="Cambria Math" w:hAnsi="Cambria Math"/>
              </w:rPr>
              <m:t>v</m:t>
            </m:r>
            <m:ctrlPr>
              <w:rPr>
                <w:rFonts w:ascii="Cambria Math" w:hAnsi="Cambria Math"/>
              </w:rPr>
            </m:ctrlPr>
          </m:e>
        </m:box>
      </m:oMath>
      <w:r>
        <w:rPr>
          <w:rFonts w:ascii="微软雅黑" w:hAnsi="微软雅黑" w:eastAsia="微软雅黑"/>
          <w:sz w:val="18"/>
          <w:szCs w:val="18"/>
        </w:rPr>
        <w:t xml:space="preserve"> 的一阶邻域 </w:t>
      </w:r>
      <m:oMath>
        <m:box>
          <m:boxPr>
            <m:ctrlPr>
              <w:rPr>
                <w:rFonts w:ascii="Cambria Math" w:hAnsi="Cambria Math"/>
              </w:rPr>
            </m:ctrlPr>
          </m:boxPr>
          <m:e>
            <m:r>
              <m:rPr>
                <m:scr m:val="script"/>
              </m:rPr>
              <w:rPr>
                <w:rFonts w:ascii="Cambria Math" w:hAnsi="Cambria Math"/>
              </w:rPr>
              <m:t>N</m:t>
            </m:r>
            <m:r>
              <m:rPr>
                <m:sty m:val="p"/>
              </m:rPr>
              <w:rPr>
                <w:rFonts w:ascii="Cambria Math" w:hAnsi="Cambria Math"/>
              </w:rPr>
              <m:t>(</m:t>
            </m:r>
            <m:r>
              <m:rPr/>
              <w:rPr>
                <w:rFonts w:ascii="Cambria Math" w:hAnsi="Cambria Math"/>
              </w:rPr>
              <m:t>v</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在相邻帧间的局部边长变化之和，本质上是离散Green-Lagrange应变张量的一阶近似。当蒙皮结果出现局部体积膨胀、异常压缩或骨骼权重突变时，</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值会显著升高。实际使用中，可进一步引入二阶差分变体 </w:t>
      </w:r>
      <m:oMath>
        <m:box>
          <m:boxPr>
            <m:ctrlPr>
              <w:rPr>
                <w:rFonts w:ascii="Cambria Math" w:hAnsi="Cambria Math"/>
              </w:rPr>
            </m:ctrlPr>
          </m:boxPr>
          <m:e>
            <m:sSubSup>
              <m:sSubSupPr>
                <m:ctrlPr>
                  <w:rPr>
                    <w:rFonts w:ascii="Cambria Math" w:hAnsi="Cambria Math"/>
                  </w:rPr>
                </m:ctrlPr>
              </m:sSubSup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ctrlPr>
                      <w:rPr>
                        <w:rFonts w:ascii="Cambria Math" w:hAnsi="Cambria Math"/>
                      </w:rPr>
                    </m:ctrlPr>
                  </m:e>
                </m:box>
                <m:ctrlPr>
                  <w:rPr>
                    <w:rFonts w:ascii="Cambria Math" w:hAnsi="Cambria Math"/>
                  </w:rPr>
                </m:ctrlPr>
              </m:sub>
              <m:sup>
                <m:box>
                  <m:boxPr>
                    <m:ctrlPr>
                      <w:rPr>
                        <w:rFonts w:ascii="Cambria Math" w:hAnsi="Cambria Math"/>
                      </w:rPr>
                    </m:ctrlPr>
                  </m:boxPr>
                  <m:e>
                    <m:r>
                      <m:rPr>
                        <m:sty m:val="p"/>
                      </m:rPr>
                      <w:rPr>
                        <w:rFonts w:ascii="Cambria Math" w:hAnsi="Cambria Math"/>
                      </w:rPr>
                      <m:t>(2)</m:t>
                    </m:r>
                    <m:ctrlPr>
                      <w:rPr>
                        <w:rFonts w:ascii="Cambria Math" w:hAnsi="Cambria Math"/>
                      </w:rPr>
                    </m:ctrlPr>
                  </m:e>
                </m:box>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r>
                      <m:rPr>
                        <m:sty m:val="p"/>
                      </m:rPr>
                      <w:rPr>
                        <w:rFonts w:ascii="Cambria Math" w:hAnsi="Cambria Math"/>
                      </w:rPr>
                      <m:t>,</m:t>
                    </m:r>
                    <m:r>
                      <m:rPr/>
                      <w:rPr>
                        <w:rFonts w:ascii="Cambria Math" w:hAnsi="Cambria Math"/>
                      </w:rPr>
                      <m:t>t</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eng</m:t>
                    </m:r>
                    <m:r>
                      <m:rPr>
                        <m:sty m:val="p"/>
                      </m:rPr>
                      <w:rPr>
                        <w:rFonts w:ascii="Cambria Math" w:hAnsi="Cambria Math"/>
                      </w:rPr>
                      <m:t>,</m:t>
                    </m:r>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，捕获能量突变的加速度信息，对"骤然抖动"类异常更加灵敏。</w:t>
      </w:r>
    </w:p>
    <w:p w14:paraId="10672278">
      <w:pPr>
        <w:spacing w:line="276" w:lineRule="auto"/>
        <w:rPr>
          <w:rFonts w:hint="eastAsia" w:ascii="微软雅黑" w:hAnsi="微软雅黑" w:eastAsia="微软雅黑"/>
          <w:sz w:val="18"/>
          <w:szCs w:val="18"/>
        </w:rPr>
      </w:pPr>
      <w:r>
        <w:rPr>
          <w:rFonts w:ascii="微软雅黑" w:hAnsi="微软雅黑" w:eastAsia="微软雅黑"/>
          <w:b/>
          <w:bCs/>
          <w:sz w:val="18"/>
          <w:szCs w:val="18"/>
        </w:rPr>
        <w:t xml:space="preserve">指标5：边界连续性指标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bdry</m:t>
                    </m:r>
                    <m:ctrlPr>
                      <w:rPr>
                        <w:rFonts w:ascii="Cambria Math" w:hAnsi="Cambria Math"/>
                      </w:rPr>
                    </m:ctrlPr>
                  </m:e>
                </m:box>
                <m:ctrlPr>
                  <w:rPr>
                    <w:rFonts w:ascii="Cambria Math" w:hAnsi="Cambria Math"/>
                  </w:rPr>
                </m:ctrlPr>
              </m:sub>
            </m:sSub>
            <m:ctrlPr>
              <w:rPr>
                <w:rFonts w:ascii="Cambria Math" w:hAnsi="Cambria Math"/>
              </w:rPr>
            </m:ctrlPr>
          </m:e>
        </m:box>
      </m:oMath>
    </w:p>
    <w:p w14:paraId="5FA1FE0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在关键部位边界点上，计算速度方向和法线方向的跨帧一致性得分：</w:t>
      </w:r>
    </w:p>
    <w:p w14:paraId="649C3C38">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bdry</m:t>
                      </m:r>
                      <m:ctrlPr>
                        <w:rPr>
                          <w:rFonts w:ascii="Cambria Math" w:hAnsi="Cambria Math"/>
                        </w:rPr>
                      </m:ctrlPr>
                    </m:e>
                  </m:box>
                  <m:ctrlPr>
                    <w:rPr>
                      <w:rFonts w:ascii="Cambria Math" w:hAnsi="Cambria Math"/>
                    </w:rPr>
                  </m:ctrlP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ctrlPr>
                        <w:rPr>
                          <w:rFonts w:ascii="Cambria Math" w:hAnsi="Cambria Math"/>
                        </w:rPr>
                      </m:ctrlPr>
                    </m:e>
                  </m:box>
                  <m:ctrlPr>
                    <w:rPr>
                      <w:rFonts w:ascii="Cambria Math" w:hAnsi="Cambria Math"/>
                    </w:rPr>
                  </m:ctrlPr>
                </m:num>
                <m:den>
                  <m:box>
                    <m:boxPr>
                      <m:ctrlPr>
                        <w:rPr>
                          <w:rFonts w:ascii="Cambria Math" w:hAnsi="Cambria Math"/>
                        </w:rPr>
                      </m:ctrlPr>
                    </m:boxPr>
                    <m:e>
                      <w:commentRangeStart w:id="15"/>
                      <m:r>
                        <m:rPr>
                          <m:sty m:val="p"/>
                        </m:rPr>
                        <w:rPr>
                          <w:rFonts w:ascii="Cambria Math" w:hAnsi="Cambria Math"/>
                        </w:rPr>
                        <m:t>|∂</m:t>
                      </m:r>
                      <m:r>
                        <m:rPr>
                          <m:scr m:val="script"/>
                        </m:rPr>
                        <w:rPr>
                          <w:rFonts w:ascii="Cambria Math" w:hAnsi="Cambria Math"/>
                        </w:rPr>
                        <m:t>V</m:t>
                      </m:r>
                      <m:r>
                        <m:rPr>
                          <m:sty m:val="p"/>
                        </m:rPr>
                        <w:rPr>
                          <w:rFonts w:ascii="Cambria Math" w:hAnsi="Cambria Math"/>
                        </w:rPr>
                        <m:t>|</m:t>
                      </m:r>
                      <w:commentRangeEnd w:id="15"/>
                      <m:r>
                        <m:rPr>
                          <m:sty m:val="p"/>
                        </m:rPr>
                        <w:commentReference w:id="15"/>
                      </m:r>
                      <m:ctrlPr>
                        <w:rPr>
                          <w:rFonts w:ascii="Cambria Math" w:hAnsi="Cambria Math"/>
                        </w:rPr>
                      </m:ctrlPr>
                    </m:e>
                  </m:box>
                  <m:ctrlPr>
                    <w:rPr>
                      <w:rFonts w:ascii="Cambria Math" w:hAnsi="Cambria Math"/>
                    </w:rPr>
                  </m:ctrlPr>
                </m:den>
              </m:f>
              <m:nary>
                <m:naryPr>
                  <m:chr m:val="∑"/>
                  <m:limLoc m:val="undOvr"/>
                  <m:supHide m:val="1"/>
                  <m:ctrlPr>
                    <w:rPr>
                      <w:rFonts w:ascii="Cambria Math" w:hAnsi="Cambria Math"/>
                    </w:rPr>
                  </m:ctrlPr>
                </m:naryPr>
                <m:sub>
                  <m:box>
                    <m:boxPr>
                      <m:ctrlPr>
                        <w:rPr>
                          <w:rFonts w:ascii="Cambria Math" w:hAnsi="Cambria Math"/>
                        </w:rPr>
                      </m:ctrlPr>
                    </m:boxPr>
                    <m:e>
                      <m:r>
                        <m:rPr/>
                        <w:rPr>
                          <w:rFonts w:ascii="Cambria Math" w:hAnsi="Cambria Math"/>
                        </w:rPr>
                        <m:t>v</m:t>
                      </m:r>
                      <m:r>
                        <m:rPr>
                          <m:sty m:val="p"/>
                        </m:rPr>
                        <w:rPr>
                          <w:rFonts w:ascii="Cambria Math" w:hAnsi="Cambria Math"/>
                        </w:rPr>
                        <m:t>∈∂</m:t>
                      </m:r>
                      <m:r>
                        <m:rPr>
                          <m:scr m:val="script"/>
                        </m:rPr>
                        <w:rPr>
                          <w:rFonts w:ascii="Cambria Math" w:hAnsi="Cambria Math"/>
                        </w:rPr>
                        <m:t>V</m:t>
                      </m:r>
                      <m:ctrlPr>
                        <w:rPr>
                          <w:rFonts w:ascii="Cambria Math" w:hAnsi="Cambria Math"/>
                        </w:rPr>
                      </m:ctrlPr>
                    </m:e>
                  </m:box>
                  <m:ctrlPr>
                    <w:rPr>
                      <w:rFonts w:ascii="Cambria Math" w:hAnsi="Cambria Math"/>
                    </w:rPr>
                  </m:ctrlPr>
                </m:sub>
                <m:sup>
                  <m:ctrlPr>
                    <w:rPr>
                      <w:rFonts w:ascii="Cambria Math" w:hAnsi="Cambria Math"/>
                    </w:rPr>
                  </m:ctrlPr>
                </m:sup>
                <m:e>
                  <m:r>
                    <m:rPr>
                      <m:sty m:val="p"/>
                    </m:rPr>
                    <w:rPr>
                      <w:rFonts w:ascii="Cambria Math" w:hAnsi="Cambria Math"/>
                    </w:rPr>
                    <m:t>cos∠(</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e>
          </m:box>
        </m:oMath>
      </m:oMathPara>
    </w:p>
    <w:p w14:paraId="58BF2814">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w:commentRangeStart w:id="36"/>
      <w:commentRangeEnd w:id="36"/>
      <w:r>
        <w:commentReference w:id="36"/>
      </w:r>
      <m:oMath>
        <m:box>
          <m:boxPr>
            <m:ctrlPr>
              <w:rPr>
                <w:rFonts w:ascii="Cambria Math" w:hAnsi="Cambria Math"/>
              </w:rPr>
            </m:ctrlPr>
          </m:boxPr>
          <m:e>
            <m:r>
              <m:rPr>
                <m:sty m:val="p"/>
              </m:rPr>
              <w:rPr>
                <w:rFonts w:ascii="Cambria Math" w:hAnsi="Cambria Math"/>
              </w:rPr>
              <m:t>∂</m:t>
            </m:r>
            <m:r>
              <m:rPr>
                <m:scr m:val="script"/>
              </m:rPr>
              <w:rPr>
                <w:rFonts w:ascii="Cambria Math" w:hAnsi="Cambria Math"/>
              </w:rPr>
              <m:t>V</m:t>
            </m:r>
            <m:ctrlPr>
              <w:rPr>
                <w:rFonts w:ascii="Cambria Math" w:hAnsi="Cambria Math"/>
              </w:rPr>
            </m:ctrlPr>
          </m:e>
        </m:box>
      </m:oMath>
      <w:r>
        <w:rPr>
          <w:rFonts w:ascii="微软雅黑" w:hAnsi="微软雅黑" w:eastAsia="微软雅黑"/>
          <w:sz w:val="18"/>
          <w:szCs w:val="18"/>
        </w:rPr>
        <w:t xml:space="preserve"> 为部位边界顶点集合（如布料与躯干交接处的一圈顶点），</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v</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为帧间速度向量。当边界处权重分配不连续时，相邻帧速度方向会出现突变，余弦值趋近于零或负值，</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box>
                  <m:boxPr>
                    <m:ctrlPr>
                      <w:rPr>
                        <w:rFonts w:ascii="Cambria Math" w:hAnsi="Cambria Math"/>
                      </w:rPr>
                    </m:ctrlPr>
                  </m:boxPr>
                  <m:e>
                    <m:r>
                      <m:rPr>
                        <m:nor/>
                        <m:sty m:val="p"/>
                      </m:rPr>
                      <w:rPr>
                        <w:b w:val="0"/>
                        <w:i w:val="0"/>
                      </w:rPr>
                      <m:t>bdry</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升高。该指标对于检测权重突变引起的边界撕裂和接缝抖动具有较高灵敏度。实际实现中，</w:t>
      </w:r>
      <m:oMath>
        <m:box>
          <m:boxPr>
            <m:ctrlPr>
              <w:rPr>
                <w:rFonts w:ascii="Cambria Math" w:hAnsi="Cambria Math"/>
              </w:rPr>
            </m:ctrlPr>
          </m:boxPr>
          <m:e>
            <m:r>
              <m:rPr>
                <m:sty m:val="p"/>
              </m:rPr>
              <w:rPr>
                <w:rFonts w:ascii="Cambria Math" w:hAnsi="Cambria Math"/>
              </w:rPr>
              <m:t>∂</m:t>
            </m:r>
            <m:r>
              <m:rPr>
                <m:scr m:val="script"/>
              </m:rPr>
              <w:rPr>
                <w:rFonts w:ascii="Cambria Math" w:hAnsi="Cambria Math"/>
              </w:rPr>
              <m:t>V</m:t>
            </m:r>
            <m:ctrlPr>
              <w:rPr>
                <w:rFonts w:ascii="Cambria Math" w:hAnsi="Cambria Math"/>
              </w:rPr>
            </m:ctrlPr>
          </m:e>
        </m:box>
      </m:oMath>
      <w:r>
        <w:rPr>
          <w:rFonts w:ascii="微软雅黑" w:hAnsi="微软雅黑" w:eastAsia="微软雅黑"/>
          <w:sz w:val="18"/>
          <w:szCs w:val="18"/>
        </w:rPr>
        <w:t xml:space="preserve"> 的提取方式为：将部件分组映射 </w:t>
      </w:r>
      <m:oMath>
        <m:box>
          <m:boxPr>
            <m:ctrlPr>
              <w:rPr>
                <w:rFonts w:ascii="Cambria Math" w:hAnsi="Cambria Math"/>
              </w:rPr>
            </m:ctrlPr>
          </m:boxPr>
          <m:e>
            <m:r>
              <m:rPr>
                <m:scr m:val="script"/>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 中不同组标签的交界边上的顶点取并集，再按拓扑排序形成有序边界环。</w:t>
      </w:r>
    </w:p>
    <w:p w14:paraId="38716B25">
      <w:pPr>
        <w:jc w:val="center"/>
      </w:pPr>
      <w:r>
        <w:drawing>
          <wp:inline distT="0" distB="0" distL="0" distR="0">
            <wp:extent cx="4572000" cy="2493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4572000" cy="2493818"/>
                    </a:xfrm>
                    <a:prstGeom prst="rect">
                      <a:avLst/>
                    </a:prstGeom>
                  </pic:spPr>
                </pic:pic>
              </a:graphicData>
            </a:graphic>
          </wp:inline>
        </w:drawing>
      </w:r>
    </w:p>
    <w:p w14:paraId="72284926">
      <w:pPr>
        <w:jc w:val="center"/>
      </w:pPr>
      <w:r>
        <w:rPr>
          <w:sz w:val="18"/>
          <w:szCs w:val="18"/>
        </w:rPr>
        <w:t>图3 可插拔指标计算架构示意图</w:t>
      </w:r>
    </w:p>
    <w:p w14:paraId="0E8B276D">
      <w:pPr>
        <w:spacing w:line="276" w:lineRule="auto"/>
        <w:rPr>
          <w:rFonts w:hint="eastAsia" w:ascii="微软雅黑" w:hAnsi="微软雅黑" w:eastAsia="微软雅黑"/>
          <w:sz w:val="18"/>
          <w:szCs w:val="18"/>
        </w:rPr>
      </w:pPr>
      <w:r>
        <w:rPr>
          <w:rFonts w:ascii="微软雅黑" w:hAnsi="微软雅黑" w:eastAsia="微软雅黑"/>
          <w:sz w:val="18"/>
          <w:szCs w:val="18"/>
        </w:rPr>
        <w:t>4.2.3 归一化与自适应阈值</w:t>
      </w:r>
      <w:r>
        <w:commentReference w:id="16"/>
      </w:r>
      <w:commentRangeStart w:id="37"/>
      <w:commentRangeEnd w:id="37"/>
      <w:r>
        <w:commentReference w:id="37"/>
      </w:r>
    </w:p>
    <w:p w14:paraId="0B74346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对任意指标 </w:t>
      </w:r>
      <m:oMath>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，采用基于阈值区间的线性裁剪归一化：</w:t>
      </w:r>
    </w:p>
    <w:p w14:paraId="040A0E10">
      <w:pPr>
        <w:spacing w:line="276" w:lineRule="auto"/>
        <w:rPr>
          <w:rFonts w:hint="eastAsia" w:ascii="微软雅黑" w:hAnsi="微软雅黑" w:eastAsia="微软雅黑"/>
          <w:sz w:val="18"/>
          <w:szCs w:val="18"/>
        </w:rPr>
      </w:pPr>
      <m:oMathPara>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box>
                <m:boxPr>
                  <m:ctrlPr>
                    <w:rPr>
                      <w:rFonts w:ascii="Cambria Math" w:hAnsi="Cambria Math"/>
                    </w:rPr>
                  </m:ctrlPr>
                </m:boxPr>
                <m:e>
                  <m:r>
                    <m:rPr>
                      <m:sty m:val="p"/>
                    </m:rPr>
                    <w:rPr>
                      <w:rFonts w:ascii="Cambria Math" w:hAnsi="Cambria Math"/>
                    </w:rPr>
                    <m:t>clip</m:t>
                  </m:r>
                  <m:ctrlPr>
                    <w:rPr>
                      <w:rFonts w:ascii="Cambria Math" w:hAnsi="Cambria Math"/>
                    </w:rPr>
                  </m:ctrlP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ctrlPr>
                                <w:rPr>
                                  <w:rFonts w:ascii="Cambria Math" w:hAnsi="Cambria Math"/>
                                </w:rPr>
                              </m:ctrlPr>
                            </m:num>
                            <m:den>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high</m:t>
                                          </m:r>
                                          <m:ctrlPr>
                                            <w:rPr>
                                              <w:rFonts w:ascii="Cambria Math" w:hAnsi="Cambria Math"/>
                                            </w:rPr>
                                          </m:ctrlPr>
                                        </m:e>
                                      </m:box>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ctrlPr>
                                <w:rPr>
                                  <w:rFonts w:ascii="Cambria Math" w:hAnsi="Cambria Math"/>
                                </w:rPr>
                              </m:ctrlPr>
                            </m:den>
                          </m:f>
                          <m:r>
                            <m:rPr>
                              <m:sty m:val="p"/>
                            </m:rPr>
                            <w:rPr>
                              <w:rFonts w:ascii="Cambria Math" w:hAnsi="Cambria Math"/>
                            </w:rPr>
                            <m:t>,0,1</m:t>
                          </m:r>
                          <m:ctrlPr>
                            <w:rPr>
                              <w:rFonts w:ascii="Cambria Math" w:hAnsi="Cambria Math"/>
                            </w:rPr>
                          </m:ctrlPr>
                        </m:e>
                      </m:box>
                      <m:ctrlPr>
                        <w:rPr>
                          <w:rFonts w:ascii="Cambria Math" w:hAnsi="Cambria Math"/>
                        </w:rPr>
                      </m:ctrlPr>
                    </m:e>
                  </m:d>
                  <m:ctrlPr>
                    <w:rPr>
                      <w:rFonts w:ascii="Cambria Math" w:hAnsi="Cambria Math"/>
                    </w:rPr>
                  </m:ctrlPr>
                </m:e>
              </m:box>
              <m:r>
                <m:rPr>
                  <m:sty m:val="p"/>
                </m:rPr>
                <w:rPr>
                  <w:rFonts w:ascii="Cambria Math" w:hAnsi="Cambria Math"/>
                </w:rPr>
                <m:t>.</m:t>
              </m:r>
              <m:ctrlPr>
                <w:rPr>
                  <w:rFonts w:ascii="Cambria Math" w:hAnsi="Cambria Math"/>
                </w:rPr>
              </m:ctrlPr>
            </m:e>
          </m:box>
        </m:oMath>
      </m:oMathPara>
    </w:p>
    <w:p w14:paraId="10CA1E5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对不同部位可采用分位数自适应阈值：</w:t>
      </w:r>
    </w:p>
    <w:p w14:paraId="34FB58C9">
      <w:pPr>
        <w:spacing w:line="276" w:lineRule="auto"/>
        <w:rPr>
          <w:rFonts w:hint="eastAsia" w:ascii="微软雅黑" w:hAnsi="微软雅黑" w:eastAsia="微软雅黑"/>
          <w:sz w:val="18"/>
          <w:szCs w:val="18"/>
        </w:rPr>
      </w:pPr>
      <m:oMathPara>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box>
                    <m:boxPr>
                      <m:ctrlPr>
                        <w:rPr>
                          <w:rFonts w:ascii="Cambria Math" w:hAnsi="Cambria Math"/>
                        </w:rPr>
                      </m:ctrlPr>
                    </m:boxPr>
                    <m:e>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e>
                  </m:box>
                  <m:ctrlPr>
                    <w:rPr>
                      <w:rFonts w:ascii="Cambria Math" w:hAnsi="Cambria Math"/>
                    </w:rPr>
                  </m:ctrlPr>
                </m:sub>
                <m:sup>
                  <m:box>
                    <m:boxPr>
                      <m:ctrlPr>
                        <w:rPr>
                          <w:rFonts w:ascii="Cambria Math" w:hAnsi="Cambria Math"/>
                        </w:rPr>
                      </m:ctrlPr>
                    </m:boxPr>
                    <m:e>
                      <m:r>
                        <m:rPr>
                          <m:nor/>
                          <m:sty m:val="p"/>
                        </m:rPr>
                        <w:rPr>
                          <w:b w:val="0"/>
                          <w:i w:val="0"/>
                        </w:rPr>
                        <m:t>high</m:t>
                      </m:r>
                      <m:ctrlPr>
                        <w:rPr>
                          <w:rFonts w:ascii="Cambria Math" w:hAnsi="Cambria Math"/>
                        </w:rPr>
                      </m:ctrlPr>
                    </m:e>
                  </m:box>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m:nor/>
                              <m:sty m:val="p"/>
                            </m:rPr>
                            <w:rPr>
                              <w:b w:val="0"/>
                              <w:i w:val="0"/>
                            </w:rPr>
                            <m:t>part</m:t>
                          </m:r>
                          <m:r>
                            <m:rPr>
                              <m:sty m:val="p"/>
                            </m:rPr>
                            <w:rPr>
                              <w:rFonts w:ascii="Cambria Math" w:hAnsi="Cambria Math"/>
                            </w:rPr>
                            <m:t>=</m:t>
                          </m:r>
                          <m:r>
                            <m:rPr/>
                            <w:rPr>
                              <w:rFonts w:ascii="Cambria Math" w:hAnsi="Cambria Math"/>
                            </w:rPr>
                            <m:t>p</m:t>
                          </m:r>
                          <m:ctrlPr>
                            <w:rPr>
                              <w:rFonts w:ascii="Cambria Math" w:hAnsi="Cambria Math"/>
                            </w:rPr>
                          </m:ctrlPr>
                        </m:e>
                      </m:box>
                      <m:ctrlPr>
                        <w:rPr>
                          <w:rFonts w:ascii="Cambria Math" w:hAnsi="Cambria Math"/>
                        </w:rPr>
                      </m:ctrlPr>
                    </m:e>
                  </m:d>
                  <m:ctrlPr>
                    <w:rPr>
                      <w:rFonts w:ascii="Cambria Math" w:hAnsi="Cambria Math"/>
                    </w:rPr>
                  </m:ctrlPr>
                </m:e>
              </m:box>
              <m:r>
                <m:rPr>
                  <m:sty m:val="p"/>
                </m:rPr>
                <w:rPr>
                  <w:rFonts w:ascii="Cambria Math" w:hAnsi="Cambria Math"/>
                </w:rPr>
                <m:t>,</m:t>
              </m:r>
              <m:r>
                <m:rPr/>
                <w:rPr>
                  <w:rFonts w:ascii="Cambria Math" w:hAnsi="Cambria Math"/>
                </w:rPr>
                <m:t>p</m:t>
              </m:r>
              <m:r>
                <m:rPr>
                  <m:sty m:val="p"/>
                </m:rPr>
                <w:rPr>
                  <w:rFonts w:ascii="Cambria Math" w:hAnsi="Cambria Math"/>
                </w:rPr>
                <m:t>∈</m:t>
              </m:r>
              <m:r>
                <m:rPr>
                  <m:scr m:val="script"/>
                </m:rPr>
                <w:rPr>
                  <w:rFonts w:ascii="Cambria Math" w:hAnsi="Cambria Math"/>
                </w:rPr>
                <m:t>P</m:t>
              </m:r>
              <m:r>
                <m:rPr>
                  <m:sty m:val="p"/>
                </m:rPr>
                <w:rPr>
                  <w:rFonts w:ascii="Cambria Math" w:hAnsi="Cambria Math"/>
                </w:rPr>
                <m:t>,</m:t>
              </m:r>
              <m:ctrlPr>
                <w:rPr>
                  <w:rFonts w:ascii="Cambria Math" w:hAnsi="Cambria Math"/>
                </w:rPr>
              </m:ctrlPr>
            </m:e>
          </m:box>
        </m:oMath>
      </m:oMathPara>
    </w:p>
    <w:p w14:paraId="2989D4B0">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m:oMath>
        <m:box>
          <m:boxPr>
            <m:ctrlPr>
              <w:rPr>
                <w:rFonts w:ascii="Cambria Math" w:hAnsi="Cambria Math"/>
              </w:rPr>
            </m:ctrlPr>
          </m:boxPr>
          <m:e>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表示在该部位样本上的第 </w:t>
      </w:r>
      <m:oMath>
        <m:box>
          <m:boxPr>
            <m:ctrlPr>
              <w:rPr>
                <w:rFonts w:ascii="Cambria Math" w:hAnsi="Cambria Math"/>
              </w:rPr>
            </m:ctrlPr>
          </m:boxPr>
          <m:e>
            <m:r>
              <m:rPr/>
              <w:rPr>
                <w:rFonts w:ascii="Cambria Math" w:hAnsi="Cambria Math"/>
              </w:rPr>
              <m:t>q</m:t>
            </m:r>
            <m:ctrlPr>
              <w:rPr>
                <w:rFonts w:ascii="Cambria Math" w:hAnsi="Cambria Math"/>
              </w:rPr>
            </m:ctrlPr>
          </m:e>
        </m:box>
      </m:oMath>
      <w:r>
        <w:rPr>
          <w:rFonts w:ascii="微软雅黑" w:hAnsi="微软雅黑" w:eastAsia="微软雅黑"/>
          <w:sz w:val="18"/>
          <w:szCs w:val="18"/>
        </w:rPr>
        <w:t xml:space="preserve"> </w:t>
      </w:r>
      <w:r>
        <w:commentReference w:id="17"/>
      </w:r>
      <w:commentRangeStart w:id="38"/>
      <w:commentRangeEnd w:id="38"/>
      <w:r>
        <w:commentReference w:id="38"/>
      </w:r>
      <w:r>
        <w:rPr>
          <w:rFonts w:ascii="微软雅黑" w:hAnsi="微软雅黑" w:eastAsia="微软雅黑"/>
          <w:sz w:val="18"/>
          <w:szCs w:val="18"/>
        </w:rPr>
        <w:t xml:space="preserve">分位数，典型取 </w:t>
      </w:r>
      <m:oMath>
        <m:box>
          <m:boxPr>
            <m:ctrlPr>
              <w:rPr>
                <w:rFonts w:ascii="Cambria Math" w:hAnsi="Cambria Math"/>
              </w:rPr>
            </m:ctrlPr>
          </m:boxPr>
          <m:e>
            <m:r>
              <m:rPr/>
              <w:rPr>
                <w:rFonts w:ascii="Cambria Math" w:hAnsi="Cambria Math"/>
              </w:rPr>
              <m:t>q</m:t>
            </m:r>
            <m:r>
              <m:rPr>
                <m:sty m:val="p"/>
              </m:rPr>
              <w:rPr>
                <w:rFonts w:ascii="Cambria Math" w:hAnsi="Cambria Math"/>
              </w:rPr>
              <m:t>=0.95</m:t>
            </m:r>
            <m:ctrlPr>
              <w:rPr>
                <w:rFonts w:ascii="Cambria Math" w:hAnsi="Cambria Math"/>
              </w:rPr>
            </m:ctrlPr>
          </m:e>
        </m:box>
      </m:oMath>
      <w:r>
        <w:rPr>
          <w:rFonts w:ascii="微软雅黑" w:hAnsi="微软雅黑" w:eastAsia="微软雅黑"/>
          <w:sz w:val="18"/>
          <w:szCs w:val="18"/>
        </w:rPr>
        <w:t>。</w:t>
      </w:r>
    </w:p>
    <w:p w14:paraId="27B12A3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本发明支持三种阈值策略的灵活组合：</w:t>
      </w:r>
      <w:r>
        <w:rPr>
          <w:rFonts w:ascii="微软雅黑" w:hAnsi="微软雅黑" w:eastAsia="微软雅黑"/>
          <w:b/>
          <w:bCs/>
          <w:sz w:val="18"/>
          <w:szCs w:val="18"/>
        </w:rPr>
        <w:t>固定阈值</w:t>
      </w:r>
      <w:r>
        <w:rPr>
          <w:rFonts w:ascii="微软雅黑" w:hAnsi="微软雅黑" w:eastAsia="微软雅黑"/>
          <w:sz w:val="18"/>
          <w:szCs w:val="18"/>
        </w:rPr>
        <w:t>（由工程师根据经验设定全局值，适用于已标定项目）、</w:t>
      </w:r>
      <w:r>
        <w:rPr>
          <w:rFonts w:ascii="微软雅黑" w:hAnsi="微软雅黑" w:eastAsia="微软雅黑"/>
          <w:b/>
          <w:bCs/>
          <w:sz w:val="18"/>
          <w:szCs w:val="18"/>
        </w:rPr>
        <w:t>分位数阈值</w:t>
      </w:r>
      <w:r>
        <w:rPr>
          <w:rFonts w:ascii="微软雅黑" w:hAnsi="微软雅黑" w:eastAsia="微软雅黑"/>
          <w:sz w:val="18"/>
          <w:szCs w:val="18"/>
        </w:rPr>
        <w:t>（基于历史样本统计分布自动计算，</w:t>
      </w:r>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box>
                  <m:boxPr>
                    <m:ctrlPr>
                      <w:rPr>
                        <w:rFonts w:ascii="Cambria Math" w:hAnsi="Cambria Math"/>
                      </w:rPr>
                    </m:ctrlPr>
                  </m:boxPr>
                  <m:e>
                    <m:r>
                      <m:rPr/>
                      <w:rPr>
                        <w:rFonts w:ascii="Cambria Math" w:hAnsi="Cambria Math"/>
                      </w:rPr>
                      <m:t>i</m:t>
                    </m:r>
                    <m:r>
                      <m:rPr>
                        <m:sty m:val="p"/>
                      </m:rPr>
                      <w:rPr>
                        <w:rFonts w:ascii="Cambria Math" w:hAnsi="Cambria Math"/>
                      </w:rPr>
                      <m:t>,</m:t>
                    </m:r>
                    <m:r>
                      <m:rPr/>
                      <w:rPr>
                        <w:rFonts w:ascii="Cambria Math" w:hAnsi="Cambria Math"/>
                      </w:rPr>
                      <m:t>p</m:t>
                    </m:r>
                    <m:ctrlPr>
                      <w:rPr>
                        <w:rFonts w:ascii="Cambria Math" w:hAnsi="Cambria Math"/>
                      </w:rPr>
                    </m:ctrlPr>
                  </m:e>
                </m:box>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 取 </w:t>
      </w:r>
      <m:oMath>
        <m:box>
          <m:boxPr>
            <m:ctrlPr>
              <w:rPr>
                <w:rFonts w:ascii="Cambria Math" w:hAnsi="Cambria Math"/>
              </w:rPr>
            </m:ctrlPr>
          </m:boxPr>
          <m:e>
            <m:sSub>
              <m:sSubPr>
                <m:ctrlPr>
                  <w:rPr>
                    <w:rFonts w:ascii="Cambria Math" w:hAnsi="Cambria Math"/>
                  </w:rPr>
                </m:ctrlPr>
              </m:sSubPr>
              <m:e>
                <m:r>
                  <m:rPr/>
                  <w:rPr>
                    <w:rFonts w:ascii="Cambria Math" w:hAnsi="Cambria Math"/>
                  </w:rPr>
                  <m:t>Q</m:t>
                </m:r>
                <m:ctrlPr>
                  <w:rPr>
                    <w:rFonts w:ascii="Cambria Math" w:hAnsi="Cambria Math"/>
                  </w:rPr>
                </m:ctrlPr>
              </m:e>
              <m:sub>
                <m:box>
                  <m:boxPr>
                    <m:ctrlPr>
                      <w:rPr>
                        <w:rFonts w:ascii="Cambria Math" w:hAnsi="Cambria Math"/>
                      </w:rPr>
                    </m:ctrlPr>
                  </m:boxPr>
                  <m:e>
                    <m:r>
                      <m:rPr>
                        <m:sty m:val="p"/>
                      </m:rPr>
                      <w:rPr>
                        <w:rFonts w:ascii="Cambria Math" w:hAnsi="Cambria Math"/>
                      </w:rPr>
                      <m:t>0.5</m:t>
                    </m:r>
                    <m:ctrlPr>
                      <w:rPr>
                        <w:rFonts w:ascii="Cambria Math" w:hAnsi="Cambria Math"/>
                      </w:rPr>
                    </m:ctrlPr>
                  </m:e>
                </m:box>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box>
                  <m:boxPr>
                    <m:ctrlPr>
                      <w:rPr>
                        <w:rFonts w:ascii="Cambria Math" w:hAnsi="Cambria Math"/>
                      </w:rPr>
                    </m:ctrlPr>
                  </m:boxPr>
                  <m:e>
                    <m:r>
                      <m:rPr>
                        <m:sty m:val="p"/>
                      </m:rPr>
                      <w:rPr>
                        <w:rFonts w:ascii="Cambria Math" w:hAnsi="Cambria Math"/>
                      </w:rPr>
                      <m:t>0.7</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，适用于冷启动场景）、</w:t>
      </w:r>
      <w:r>
        <w:rPr>
          <w:rFonts w:ascii="微软雅黑" w:hAnsi="微软雅黑" w:eastAsia="微软雅黑"/>
          <w:b/>
          <w:bCs/>
          <w:sz w:val="18"/>
          <w:szCs w:val="18"/>
        </w:rPr>
        <w:t>按部位分层自适应阈值</w:t>
      </w:r>
      <w:r>
        <w:rPr>
          <w:rFonts w:ascii="微软雅黑" w:hAnsi="微软雅黑" w:eastAsia="微软雅黑"/>
          <w:sz w:val="18"/>
          <w:szCs w:val="18"/>
        </w:rPr>
        <w:t xml:space="preserve">（在分位数基础上引入部位分组 </w:t>
      </w:r>
      <m:oMath>
        <m:box>
          <m:boxPr>
            <m:ctrlPr>
              <w:rPr>
                <w:rFonts w:ascii="Cambria Math" w:hAnsi="Cambria Math"/>
              </w:rPr>
            </m:ctrlPr>
          </m:boxPr>
          <m:e>
            <m:r>
              <m:rPr>
                <m:scr m:val="script"/>
              </m:rPr>
              <w:rPr>
                <w:rFonts w:ascii="Cambria Math" w:hAnsi="Cambria Math"/>
              </w:rPr>
              <m:t>P</m:t>
            </m:r>
            <m:ctrlPr>
              <w:rPr>
                <w:rFonts w:ascii="Cambria Math" w:hAnsi="Cambria Math"/>
              </w:rPr>
            </m:ctrlPr>
          </m:e>
        </m:box>
      </m:oMath>
      <w:r>
        <w:rPr>
          <w:rFonts w:ascii="微软雅黑" w:hAnsi="微软雅黑" w:eastAsia="微软雅黑"/>
          <w:sz w:val="18"/>
          <w:szCs w:val="18"/>
        </w:rPr>
        <w:t>，头发部位阈值放宽、躯干收紧，分层粒度可配置为1-3级）。三种策略可按项目需求混合使用。</w:t>
      </w:r>
    </w:p>
    <w:p w14:paraId="52AD8EB8">
      <w:pPr>
        <w:spacing w:line="276" w:lineRule="auto"/>
        <w:rPr>
          <w:rFonts w:hint="eastAsia" w:ascii="微软雅黑" w:hAnsi="微软雅黑" w:eastAsia="微软雅黑"/>
          <w:sz w:val="18"/>
          <w:szCs w:val="18"/>
        </w:rPr>
      </w:pPr>
      <w:r>
        <w:rPr>
          <w:rFonts w:ascii="微软雅黑" w:hAnsi="微软雅黑" w:eastAsia="微软雅黑"/>
          <w:sz w:val="18"/>
          <w:szCs w:val="18"/>
        </w:rPr>
        <w:t>4.2.4 多指标聚合与分级</w:t>
      </w:r>
    </w:p>
    <w:p w14:paraId="674903A8">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聚合总分采用加权和与门控惩罚相结合的形式：</w:t>
      </w:r>
    </w:p>
    <w:p w14:paraId="771E2390">
      <w:pPr>
        <w:spacing w:line="276" w:lineRule="auto"/>
        <w:rPr>
          <w:rFonts w:hint="eastAsia" w:ascii="微软雅黑" w:hAnsi="微软雅黑" w:eastAsia="微软雅黑"/>
          <w:sz w:val="18"/>
          <w:szCs w:val="18"/>
        </w:rPr>
      </w:pPr>
      <w:commentRangeStart w:id="18"/>
      <m:oMathPara>
        <m:oMath>
          <m:box>
            <m:boxPr>
              <m:ctrlPr>
                <w:rPr>
                  <w:rFonts w:ascii="Cambria Math" w:hAnsi="Cambria Math"/>
                </w:rPr>
              </m:ctrlPr>
            </m:boxPr>
            <m:e>
              <m:r>
                <m:rP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m:rPr/>
                        <w:rPr>
                          <w:rFonts w:ascii="Cambria Math" w:hAnsi="Cambria Math"/>
                        </w:rPr>
                        <m:t>i</m:t>
                      </m:r>
                      <m:r>
                        <m:rPr>
                          <m:sty m:val="p"/>
                        </m:rPr>
                        <w:rPr>
                          <w:rFonts w:ascii="Cambria Math" w:hAnsi="Cambria Math"/>
                        </w:rPr>
                        <m:t>∈</m:t>
                      </m:r>
                      <m:r>
                        <m:rPr>
                          <m:scr m:val="script"/>
                        </m:rPr>
                        <w:rPr>
                          <w:rFonts w:ascii="Cambria Math" w:hAnsi="Cambria Math"/>
                        </w:rPr>
                        <m:t>ℐ</m:t>
                      </m:r>
                      <m:ctrlPr>
                        <w:rPr>
                          <w:rFonts w:ascii="Cambria Math" w:hAnsi="Cambria Math"/>
                        </w:rPr>
                      </m:ctrlPr>
                    </m:e>
                  </m:box>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z</m:t>
                  </m:r>
                  <m:r>
                    <m:rPr>
                      <m:sty m:val="p"/>
                    </m:rPr>
                    <w:rPr>
                      <w:rFonts w:ascii="Cambria Math" w:hAnsi="Cambria Math"/>
                    </w:rPr>
                    <m:t>),</m:t>
                  </m:r>
                  <m:ctrlPr>
                    <w:rPr>
                      <w:rFonts w:ascii="Cambria Math" w:hAnsi="Cambria Math"/>
                    </w:rPr>
                  </m:ctrlPr>
                </m:e>
              </m:nary>
              <m:ctrlPr>
                <w:rPr>
                  <w:rFonts w:ascii="Cambria Math" w:hAnsi="Cambria Math"/>
                </w:rPr>
              </m:ctrlPr>
            </m:e>
          </m:box>
          <w:commentRangeEnd w:id="18"/>
          <m:r>
            <m:rPr>
              <m:sty m:val="p"/>
            </m:rPr>
            <w:commentReference w:id="18"/>
          </m:r>
        </m:oMath>
      </m:oMathPara>
    </w:p>
    <w:p w14:paraId="5A473BD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其中 </w:t>
      </w:r>
      <w:commentRangeStart w:id="39"/>
      <w:commentRangeEnd w:id="39"/>
      <w:r>
        <w:commentReference w:id="39"/>
      </w:r>
      <m:oMath>
        <m:box>
          <m:boxPr>
            <m:ctrlPr>
              <w:rPr>
                <w:rFonts w:ascii="Cambria Math" w:hAnsi="Cambria Math"/>
              </w:rPr>
            </m:ctrlPr>
          </m:boxPr>
          <m:e>
            <m:r>
              <m:rPr/>
              <w:rPr>
                <w:rFonts w:ascii="Cambria Math" w:hAnsi="Cambria Math"/>
              </w:rPr>
              <m:t>g</m:t>
            </m:r>
            <m:r>
              <m:rPr>
                <m:sty m:val="p"/>
              </m:rPr>
              <w:rPr>
                <w:rFonts w:ascii="Cambria Math" w:hAnsi="Cambria Math"/>
              </w:rPr>
              <m:t>(</m:t>
            </m:r>
            <m:r>
              <m:rPr/>
              <w:rPr>
                <w:rFonts w:ascii="Cambria Math" w:hAnsi="Cambria Math"/>
              </w:rPr>
              <m:t>z</m:t>
            </m:r>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 为门控惩罚项，当任一关键指标 </w:t>
      </w:r>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box>
                  <m:boxPr>
                    <m:ctrlPr>
                      <w:rPr>
                        <w:rFonts w:ascii="Cambria Math" w:hAnsi="Cambria Math"/>
                      </w:rPr>
                    </m:ctrlPr>
                  </m:boxPr>
                  <m:e>
                    <m:r>
                      <m:rPr>
                        <m:nor/>
                        <m:sty m:val="p"/>
                      </m:rPr>
                      <w:rPr>
                        <w:b w:val="0"/>
                        <w:i w:val="0"/>
                      </w:rPr>
                      <m:t>crit</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时施加额外惩罚，防止总分掩盖局部严重异常。为抑制瞬时帧噪声，对时序分数执行指数平滑：</w:t>
      </w:r>
    </w:p>
    <w:p w14:paraId="79D013CD">
      <w:pPr>
        <w:spacing w:line="276" w:lineRule="auto"/>
        <w:rPr>
          <w:rFonts w:hint="eastAsia" w:ascii="微软雅黑" w:hAnsi="微软雅黑" w:eastAsia="微软雅黑"/>
          <w:sz w:val="18"/>
          <w:szCs w:val="18"/>
        </w:rPr>
      </w:pPr>
      <w:commentRangeStart w:id="19"/>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+(1−</m:t>
              </m:r>
              <m:r>
                <m:rPr/>
                <w:rPr>
                  <w:rFonts w:ascii="Cambria Math" w:hAnsi="Cambria Math"/>
                </w:rPr>
                <m:t>β</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box>
                    <m:boxPr>
                      <m:ctrlPr>
                        <w:rPr>
                          <w:rFonts w:ascii="Cambria Math" w:hAnsi="Cambria Math"/>
                        </w:rPr>
                      </m:ctrlPr>
                    </m:boxPr>
                    <m:e>
                      <m:r>
                        <m:rPr/>
                        <w:rPr>
                          <w:rFonts w:ascii="Cambria Math" w:hAnsi="Cambria Math"/>
                        </w:rPr>
                        <m:t>t</m:t>
                      </m:r>
                      <m:r>
                        <m:rPr>
                          <m:sty m:val="p"/>
                        </m:rPr>
                        <w:rPr>
                          <w:rFonts w:ascii="Cambria Math" w:hAnsi="Cambria Math"/>
                        </w:rPr>
                        <m:t>−1</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box>
          <w:commentRangeEnd w:id="19"/>
          <m:r>
            <m:rPr>
              <m:sty m:val="p"/>
            </m:rPr>
            <w:commentReference w:id="19"/>
          </m:r>
        </m:oMath>
      </m:oMathPara>
    </w:p>
    <w:p w14:paraId="3E94981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样本分级规则：</w:t>
      </w:r>
      <w:commentRangeStart w:id="40"/>
      <w:commentRangeEnd w:id="40"/>
      <w:r>
        <w:commentReference w:id="40"/>
      </w:r>
      <w:r>
        <w:commentReference w:id="20"/>
      </w:r>
      <w:commentRangeStart w:id="41"/>
      <w:commentRangeEnd w:id="41"/>
      <w:r>
        <w:commentReference w:id="41"/>
      </w:r>
    </w:p>
    <w:p w14:paraId="659C2EBB">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若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：A级，可直接入训练集；</w:t>
      </w:r>
    </w:p>
    <w:p w14:paraId="33B99D7E">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若 </w:t>
      </w:r>
      <m:oMath>
        <m:box>
          <m:boxPr>
            <m:ctrlPr>
              <w:rPr>
                <w:rFonts w:ascii="Cambria Math" w:hAnsi="Cambria Math"/>
              </w:rPr>
            </m:ctrlPr>
          </m:boxPr>
          <m:e>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&lt;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：B级，降权参与训练或进入人工抽检池；</w:t>
      </w:r>
    </w:p>
    <w:p w14:paraId="72DBB147">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若 </w:t>
      </w:r>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：C级，剔除或强制修复后复评。</w:t>
      </w:r>
    </w:p>
    <w:p w14:paraId="712CEE12">
      <w:pPr>
        <w:spacing w:line="276" w:lineRule="auto"/>
        <w:rPr>
          <w:rFonts w:hint="eastAsia" w:ascii="微软雅黑" w:hAnsi="微软雅黑" w:eastAsia="微软雅黑"/>
          <w:sz w:val="18"/>
          <w:szCs w:val="18"/>
        </w:rPr>
      </w:pPr>
      <w:r>
        <w:rPr>
          <w:rFonts w:ascii="微软雅黑" w:hAnsi="微软雅黑" w:eastAsia="微软雅黑"/>
          <w:sz w:val="18"/>
          <w:szCs w:val="18"/>
        </w:rPr>
        <w:t>4.2.5 异常定位与可解释输出</w:t>
      </w:r>
    </w:p>
    <w:p w14:paraId="63B61D5A">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 xml:space="preserve">将所有 </w:t>
      </w:r>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loc</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 的顶点/面片汇总，在拓扑图上执行广度优先或并查集连通域聚类，得到区域级定位结果。具体聚类流程：首先标记所有至少一项指标 </w:t>
      </w:r>
      <m:oMath>
        <m:box>
          <m:boxPr>
            <m:ctrlPr>
              <w:rPr>
                <w:rFonts w:ascii="Cambria Math" w:hAnsi="Cambria Math"/>
              </w:rPr>
            </m:ctrlPr>
          </m:box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loc</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 的顶点为异常元素；在网格拓扑上仅保留异常元素间的边构建异常子图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G</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；对 </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G</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执行并查集合并提取连通域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cr m:val="script"/>
                  </m:rPr>
                  <w:rPr>
                    <w:rFonts w:ascii="Cambria Math" w:hAnsi="Cambria Math"/>
                  </w:rPr>
                  <m:t>C</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 xml:space="preserve">；对每个连通域结合权重矩阵 </w:t>
      </w:r>
      <m:oMath>
        <m:box>
          <m:boxPr>
            <m:ctrlPr>
              <w:rPr>
                <w:rFonts w:ascii="Cambria Math" w:hAnsi="Cambria Math"/>
              </w:rPr>
            </m:ctrlPr>
          </m:boxPr>
          <m:e>
            <m:r>
              <m:rPr/>
              <w:rPr>
                <w:rFonts w:ascii="Cambria Math" w:hAnsi="Cambria Math"/>
              </w:rPr>
              <m:t>W</m:t>
            </m:r>
            <m:ctrlPr>
              <w:rPr>
                <w:rFonts w:ascii="Cambria Math" w:hAnsi="Cambria Math"/>
              </w:rPr>
            </m:ctrlPr>
          </m:e>
        </m:box>
      </m:oMath>
      <w:r>
        <w:rPr>
          <w:rFonts w:ascii="微软雅黑" w:hAnsi="微软雅黑" w:eastAsia="微软雅黑"/>
          <w:sz w:val="18"/>
          <w:szCs w:val="18"/>
        </w:rPr>
        <w:t xml:space="preserve"> 反推主要责任骨骼簇——取域内顶点权重均值，选权重贡献前3的骨骼作为责任骨骼。生成可解释报告，内容包括：</w:t>
      </w:r>
    </w:p>
    <w:p w14:paraId="5C90E66D">
      <w:pPr>
        <w:spacing w:line="276" w:lineRule="auto"/>
        <w:rPr>
          <w:rFonts w:hint="eastAsia" w:ascii="微软雅黑" w:hAnsi="微软雅黑" w:eastAsia="微软雅黑"/>
          <w:sz w:val="18"/>
          <w:szCs w:val="18"/>
        </w:rPr>
      </w:pPr>
      <w:r>
        <w:rPr>
          <w:rFonts w:ascii="微软雅黑" w:hAnsi="微软雅黑" w:eastAsia="微软雅黑"/>
          <w:sz w:val="18"/>
          <w:szCs w:val="18"/>
        </w:rPr>
        <w:t>1. 异常类型及严重度排序（按域内峰值分数降序）；</w:t>
      </w:r>
    </w:p>
    <w:p w14:paraId="3DE4D08B">
      <w:pPr>
        <w:spacing w:line="276" w:lineRule="auto"/>
        <w:rPr>
          <w:rFonts w:hint="eastAsia" w:ascii="微软雅黑" w:hAnsi="微软雅黑" w:eastAsia="微软雅黑"/>
          <w:sz w:val="18"/>
          <w:szCs w:val="18"/>
        </w:rPr>
      </w:pPr>
      <w:r>
        <w:rPr>
          <w:rFonts w:ascii="微软雅黑" w:hAnsi="微软雅黑" w:eastAsia="微软雅黑"/>
          <w:sz w:val="18"/>
          <w:szCs w:val="18"/>
        </w:rPr>
        <w:t xml:space="preserve">2. 区域3D边界框、异常面积占比与时间片段 </w:t>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box>
                  <m:boxPr>
                    <m:ctrlPr>
                      <w:rPr>
                        <w:rFonts w:ascii="Cambria Math" w:hAnsi="Cambria Math"/>
                      </w:rPr>
                    </m:ctrlPr>
                  </m:boxPr>
                  <m:e>
                    <m:r>
                      <m:rPr>
                        <m:nor/>
                        <m:sty m:val="p"/>
                      </m:rPr>
                      <w:rPr>
                        <w:b w:val="0"/>
                        <w:i w:val="0"/>
                      </w:rPr>
                      <m:t>start</m:t>
                    </m:r>
                    <m:ctrlPr>
                      <w:rPr>
                        <w:rFonts w:ascii="Cambria Math" w:hAnsi="Cambria Math"/>
                      </w:rPr>
                    </m:ctrlPr>
                  </m:e>
                </m:box>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box>
                  <m:boxPr>
                    <m:ctrlPr>
                      <w:rPr>
                        <w:rFonts w:ascii="Cambria Math" w:hAnsi="Cambria Math"/>
                      </w:rPr>
                    </m:ctrlPr>
                  </m:boxPr>
                  <m:e>
                    <m:r>
                      <m:rPr>
                        <m:nor/>
                        <m:sty m:val="p"/>
                      </m:rPr>
                      <w:rPr>
                        <w:b w:val="0"/>
                        <w:i w:val="0"/>
                      </w:rPr>
                      <m:t>end</m:t>
                    </m:r>
                    <m:ctrlPr>
                      <w:rPr>
                        <w:rFonts w:ascii="Cambria Math" w:hAnsi="Cambria Math"/>
                      </w:rPr>
                    </m:ctrlPr>
                  </m:e>
                </m:box>
                <m:ctrlPr>
                  <w:rPr>
                    <w:rFonts w:ascii="Cambria Math" w:hAnsi="Cambria Math"/>
                  </w:rPr>
                </m:ctrlPr>
              </m:sub>
            </m:sSub>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w:t>
      </w:r>
    </w:p>
    <w:p w14:paraId="0E214262">
      <w:pPr>
        <w:spacing w:line="276" w:lineRule="auto"/>
        <w:rPr>
          <w:rFonts w:hint="eastAsia" w:ascii="微软雅黑" w:hAnsi="微软雅黑" w:eastAsia="微软雅黑"/>
          <w:sz w:val="18"/>
          <w:szCs w:val="18"/>
        </w:rPr>
      </w:pPr>
      <w:r>
        <w:rPr>
          <w:rFonts w:ascii="微软雅黑" w:hAnsi="微软雅黑" w:eastAsia="微软雅黑"/>
          <w:sz w:val="18"/>
          <w:szCs w:val="18"/>
        </w:rPr>
        <w:t>3. 触发规则路径（如"穿插深度超阈值→持续帧确认→门控惩罚触发"）与阈值版本说明；</w:t>
      </w:r>
    </w:p>
    <w:p w14:paraId="2CFC73EF">
      <w:pPr>
        <w:spacing w:line="276" w:lineRule="auto"/>
        <w:rPr>
          <w:rFonts w:hint="eastAsia" w:ascii="微软雅黑" w:hAnsi="微软雅黑" w:eastAsia="微软雅黑"/>
          <w:sz w:val="18"/>
          <w:szCs w:val="18"/>
        </w:rPr>
      </w:pPr>
      <w:r>
        <w:rPr>
          <w:rFonts w:ascii="微软雅黑" w:hAnsi="微软雅黑" w:eastAsia="微软雅黑"/>
          <w:sz w:val="18"/>
          <w:szCs w:val="18"/>
        </w:rPr>
        <w:t>4. 主要责任骨骼及其权重贡献占比；</w:t>
      </w:r>
    </w:p>
    <w:p w14:paraId="6BF8527E">
      <w:pPr>
        <w:spacing w:line="276" w:lineRule="auto"/>
        <w:rPr>
          <w:rFonts w:hint="eastAsia" w:ascii="微软雅黑" w:hAnsi="微软雅黑" w:eastAsia="微软雅黑"/>
          <w:sz w:val="18"/>
          <w:szCs w:val="18"/>
        </w:rPr>
      </w:pPr>
      <w:r>
        <w:rPr>
          <w:rFonts w:ascii="微软雅黑" w:hAnsi="微软雅黑" w:eastAsia="微软雅黑"/>
          <w:sz w:val="18"/>
          <w:szCs w:val="18"/>
        </w:rPr>
        <w:t>5. 建议处理动作（剔除/降权/修复）及预估训练收益。</w:t>
      </w:r>
    </w:p>
    <w:p w14:paraId="30818E3B">
      <w:pPr>
        <w:spacing w:line="276" w:lineRule="auto"/>
        <w:rPr>
          <w:rFonts w:hint="eastAsia" w:ascii="微软雅黑" w:hAnsi="微软雅黑" w:eastAsia="微软雅黑"/>
          <w:sz w:val="18"/>
          <w:szCs w:val="18"/>
        </w:rPr>
      </w:pPr>
      <w:r>
        <w:rPr>
          <w:rFonts w:ascii="微软雅黑" w:hAnsi="微软雅黑" w:eastAsia="微软雅黑"/>
          <w:sz w:val="18"/>
          <w:szCs w:val="18"/>
        </w:rPr>
        <w:t>4.2.6 数据闭环执行</w:t>
      </w:r>
    </w:p>
    <w:p w14:paraId="753A3AF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数据闭环策略按以下流程执行：</w:t>
      </w:r>
    </w:p>
    <w:p w14:paraId="55F5AF4F">
      <w:pPr>
        <w:spacing w:line="276" w:lineRule="auto"/>
        <w:rPr>
          <w:rFonts w:hint="eastAsia" w:ascii="微软雅黑" w:hAnsi="微软雅黑" w:eastAsia="微软雅黑"/>
          <w:sz w:val="18"/>
          <w:szCs w:val="18"/>
        </w:rPr>
      </w:pPr>
      <w:r>
        <w:rPr>
          <w:rFonts w:ascii="微软雅黑" w:hAnsi="微软雅黑" w:eastAsia="微软雅黑"/>
          <w:b/>
          <w:bCs/>
          <w:sz w:val="18"/>
          <w:szCs w:val="18"/>
        </w:rPr>
        <w:t>样本路由</w:t>
      </w:r>
      <w:r>
        <w:rPr>
          <w:rFonts w:ascii="微软雅黑" w:hAnsi="微软雅黑" w:eastAsia="微软雅黑"/>
          <w:sz w:val="18"/>
          <w:szCs w:val="18"/>
        </w:rPr>
        <w:t xml:space="preserve"> ：按A/B/C级分别进入保留、降权抽检、剔除三个通道；降权系数为 </w:t>
      </w:r>
      <m:oMath>
        <m:box>
          <m:boxPr>
            <m:ctrlPr>
              <w:rPr>
                <w:rFonts w:ascii="Cambria Math" w:hAnsi="Cambria Math"/>
              </w:rPr>
            </m:ctrlPr>
          </m:boxPr>
          <m:e>
            <m:sSub>
              <m:sSubPr>
                <m:ctrlPr>
                  <w:rPr>
                    <w:rFonts w:ascii="Cambria Math" w:hAnsi="Cambria Math"/>
                  </w:rPr>
                </m:ctrlPr>
              </m:sSubPr>
              <m:e>
                <m:r>
                  <m:rPr/>
                  <w:rPr>
                    <w:rFonts w:ascii="Cambria Math" w:hAnsi="Cambria Math"/>
                  </w:rPr>
                  <m:t>w</m:t>
                </m:r>
                <m:ctrlPr>
                  <w:rPr>
                    <w:rFonts w:ascii="Cambria Math" w:hAnsi="Cambria Math"/>
                  </w:rPr>
                </m:ctrlPr>
              </m:e>
              <m:sub>
                <m:box>
                  <m:boxPr>
                    <m:ctrlPr>
                      <w:rPr>
                        <w:rFonts w:ascii="Cambria Math" w:hAnsi="Cambria Math"/>
                      </w:rPr>
                    </m:ctrlPr>
                  </m:boxPr>
                  <m:e>
                    <m:r>
                      <m:rPr>
                        <m:nor/>
                        <m:sty m:val="p"/>
                      </m:rPr>
                      <w:rPr>
                        <w:b w:val="0"/>
                        <w:i w:val="0"/>
                      </w:rPr>
                      <m:t>sample</m:t>
                    </m:r>
                    <m:ctrlPr>
                      <w:rPr>
                        <w:rFonts w:ascii="Cambria Math" w:hAnsi="Cambria Math"/>
                      </w:rPr>
                    </m:ctrlPr>
                  </m:e>
                </m:box>
                <m:ctrlPr>
                  <w:rPr>
                    <w:rFonts w:ascii="Cambria Math" w:hAnsi="Cambria Math"/>
                  </w:rPr>
                </m:ctrlPr>
              </m:sub>
            </m:sSub>
            <m:r>
              <m:rPr>
                <m:sty m:val="p"/>
              </m:rPr>
              <w:rPr>
                <w:rFonts w:ascii="Cambria Math" w:hAnsi="Cambria Math"/>
              </w:rPr>
              <m:t>=max(</m:t>
            </m:r>
            <m:r>
              <m:rPr/>
              <w:rPr>
                <w:rFonts w:ascii="Cambria Math" w:hAnsi="Cambria Math"/>
              </w:rPr>
              <m:t>ϵ</m:t>
            </m:r>
            <m:r>
              <m:rPr>
                <m:sty m:val="p"/>
              </m:rPr>
              <w:rPr>
                <w:rFonts w:ascii="Cambria Math" w:hAnsi="Cambria Math"/>
              </w:rPr>
              <m:t>,1−</m:t>
            </m:r>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r>
              <m:rPr>
                <m:sty m:val="p"/>
              </m:rPr>
              <w:rPr>
                <w:rFonts w:ascii="Cambria Math" w:hAnsi="Cambria Math"/>
              </w:rPr>
              <m:t>)</m:t>
            </m:r>
            <m:ctrlPr>
              <w:rPr>
                <w:rFonts w:ascii="Cambria Math" w:hAnsi="Cambria Math"/>
              </w:rPr>
            </m:ctrlPr>
          </m:e>
        </m:box>
      </m:oMath>
      <w:r>
        <w:rPr>
          <w:rFonts w:ascii="微软雅黑" w:hAnsi="微软雅黑" w:eastAsia="微软雅黑"/>
          <w:sz w:val="18"/>
          <w:szCs w:val="18"/>
        </w:rPr>
        <w:t>。在训练数据加载器中，B级样本的损失函数乘以该降权系数：</w:t>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ℒ</m:t>
                </m:r>
                <m:ctrlPr>
                  <w:rPr>
                    <w:rFonts w:ascii="Cambria Math" w:hAnsi="Cambria Math"/>
                  </w:rPr>
                </m:ctrlPr>
              </m:e>
              <m:sub>
                <m:box>
                  <m:boxPr>
                    <m:ctrlPr>
                      <w:rPr>
                        <w:rFonts w:ascii="Cambria Math" w:hAnsi="Cambria Math"/>
                      </w:rPr>
                    </m:ctrlPr>
                  </m:boxPr>
                  <m:e>
                    <m:r>
                      <m:rPr>
                        <m:nor/>
                        <m:sty m:val="p"/>
                      </m:rPr>
                      <w:rPr>
                        <w:b w:val="0"/>
                        <w:i w:val="0"/>
                      </w:rPr>
                      <m:t>total</m:t>
                    </m:r>
                    <m:ctrlPr>
                      <w:rPr>
                        <w:rFonts w:ascii="Cambria Math" w:hAnsi="Cambria Math"/>
                      </w:rPr>
                    </m:ctrlPr>
                  </m:e>
                </m:box>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m:rPr/>
                      <w:rPr>
                        <w:rFonts w:ascii="Cambria Math" w:hAnsi="Cambria Math"/>
                      </w:rPr>
                      <m:t>j</m:t>
                    </m:r>
                    <m:ctrlPr>
                      <w:rPr>
                        <w:rFonts w:ascii="Cambria Math" w:hAnsi="Cambria Math"/>
                      </w:rPr>
                    </m:ctrlPr>
                  </m:e>
                </m:box>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box>
                      <m:boxPr>
                        <m:ctrlPr>
                          <w:rPr>
                            <w:rFonts w:ascii="Cambria Math" w:hAnsi="Cambria Math"/>
                          </w:rPr>
                        </m:ctrlPr>
                      </m:boxPr>
                      <m:e>
                        <m:r>
                          <m:rPr>
                            <m:nor/>
                            <m:sty m:val="p"/>
                          </m:rPr>
                          <w:rPr>
                            <w:b w:val="0"/>
                            <w:i w:val="0"/>
                          </w:rPr>
                          <m:t>sample</m:t>
                        </m:r>
                        <m:r>
                          <m:rPr>
                            <m:sty m:val="p"/>
                          </m:rPr>
                          <w:rPr>
                            <w:rFonts w:ascii="Cambria Math" w:hAnsi="Cambria Math"/>
                          </w:rPr>
                          <m:t>,</m:t>
                        </m:r>
                        <m:r>
                          <m:rPr/>
                          <w:rPr>
                            <w:rFonts w:ascii="Cambria Math" w:hAnsi="Cambria Math"/>
                          </w:rPr>
                          <m:t>j</m:t>
                        </m:r>
                        <m:ctrlPr>
                          <w:rPr>
                            <w:rFonts w:ascii="Cambria Math" w:hAnsi="Cambria Math"/>
                          </w:rPr>
                        </m:ctrlPr>
                      </m:e>
                    </m:box>
                    <m:ctrlPr>
                      <w:rPr>
                        <w:rFonts w:ascii="Cambria Math" w:hAnsi="Cambria Math"/>
                      </w:rPr>
                    </m:ctrlP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m:rPr/>
                              <w:rPr>
                                <w:rFonts w:ascii="Cambria Math" w:hAnsi="Cambria Math"/>
                              </w:rPr>
                              <m:t>y</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e>
        </m:box>
      </m:oMath>
      <w:r>
        <w:rPr>
          <w:rFonts w:ascii="微软雅黑" w:hAnsi="微软雅黑" w:eastAsia="微软雅黑"/>
          <w:sz w:val="18"/>
          <w:szCs w:val="18"/>
        </w:rPr>
        <w:t>，实现样本级损失调制。</w:t>
      </w:r>
    </w:p>
    <w:p w14:paraId="4D535AEA">
      <w:pPr>
        <w:spacing w:line="276" w:lineRule="auto"/>
        <w:rPr>
          <w:rFonts w:hint="eastAsia" w:ascii="微软雅黑" w:hAnsi="微软雅黑" w:eastAsia="微软雅黑"/>
          <w:sz w:val="18"/>
          <w:szCs w:val="18"/>
        </w:rPr>
      </w:pPr>
      <w:r>
        <w:rPr>
          <w:rFonts w:ascii="微软雅黑" w:hAnsi="微软雅黑" w:eastAsia="微软雅黑"/>
          <w:b/>
          <w:bCs/>
          <w:sz w:val="18"/>
          <w:szCs w:val="18"/>
        </w:rPr>
        <w:t>难例池管理</w:t>
      </w:r>
      <w:r>
        <w:rPr>
          <w:rFonts w:ascii="微软雅黑" w:hAnsi="微软雅黑" w:eastAsia="微软雅黑"/>
          <w:sz w:val="18"/>
          <w:szCs w:val="18"/>
        </w:rPr>
        <w:t xml:space="preserve"> ：高频异常类型（同一类型在连续N个评估周期中触发率超过 </w:t>
      </w:r>
      <m:oMath>
        <m:box>
          <m:boxPr>
            <m:ctrlPr>
              <w:rPr>
                <w:rFonts w:ascii="Cambria Math" w:hAnsi="Cambria Math"/>
              </w:rPr>
            </m:ctrlPr>
          </m:boxPr>
          <m:e>
            <m:sSub>
              <m:sSubPr>
                <m:ctrlPr>
                  <w:rPr>
                    <w:rFonts w:ascii="Cambria Math" w:hAnsi="Cambria Math"/>
                  </w:rPr>
                </m:ctrlPr>
              </m:sSubPr>
              <m:e>
                <m:r>
                  <m:rPr/>
                  <w:rPr>
                    <w:rFonts w:ascii="Cambria Math" w:hAnsi="Cambria Math"/>
                  </w:rPr>
                  <m:t>ρ</m:t>
                </m:r>
                <m:ctrlPr>
                  <w:rPr>
                    <w:rFonts w:ascii="Cambria Math" w:hAnsi="Cambria Math"/>
                  </w:rPr>
                </m:ctrlPr>
              </m:e>
              <m:sub>
                <m:box>
                  <m:boxPr>
                    <m:ctrlPr>
                      <w:rPr>
                        <w:rFonts w:ascii="Cambria Math" w:hAnsi="Cambria Math"/>
                      </w:rPr>
                    </m:ctrlPr>
                  </m:boxPr>
                  <m:e>
                    <m:r>
                      <m:rPr>
                        <m:nor/>
                        <m:sty m:val="p"/>
                      </m:rPr>
                      <w:rPr>
                        <w:b w:val="0"/>
                        <w:i w:val="0"/>
                      </w:rPr>
                      <m:t>freq</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）自动归档至难例池，池容量上限为 </w:t>
      </w:r>
      <m:oMath>
        <m:box>
          <m:boxPr>
            <m:ctrlPr>
              <w:rPr>
                <w:rFonts w:ascii="Cambria Math" w:hAnsi="Cambria Math"/>
              </w:rPr>
            </m:ctrlPr>
          </m:boxPr>
          <m:e>
            <m:sSub>
              <m:sSubPr>
                <m:ctrlPr>
                  <w:rPr>
                    <w:rFonts w:ascii="Cambria Math" w:hAnsi="Cambria Math"/>
                  </w:rPr>
                </m:ctrlPr>
              </m:sSubPr>
              <m:e>
                <m:r>
                  <m:rPr/>
                  <w:rPr>
                    <w:rFonts w:ascii="Cambria Math" w:hAnsi="Cambria Math"/>
                  </w:rPr>
                  <m:t>N</m:t>
                </m:r>
                <m:ctrlPr>
                  <w:rPr>
                    <w:rFonts w:ascii="Cambria Math" w:hAnsi="Cambria Math"/>
                  </w:rPr>
                </m:ctrlPr>
              </m:e>
              <m:sub>
                <m:box>
                  <m:boxPr>
                    <m:ctrlPr>
                      <w:rPr>
                        <w:rFonts w:ascii="Cambria Math" w:hAnsi="Cambria Math"/>
                      </w:rPr>
                    </m:ctrlPr>
                  </m:boxPr>
                  <m:e>
                    <m:r>
                      <m:rPr>
                        <m:nor/>
                        <m:sty m:val="p"/>
                      </m:rPr>
                      <w:rPr>
                        <w:b w:val="0"/>
                        <w:i w:val="0"/>
                      </w:rPr>
                      <m:t>pool</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，采用FIFO淘汰策略。周期性采样支持两种模式：类型均衡模式（各异常类型等比例抽取 </w:t>
      </w:r>
      <m:oMath>
        <m:box>
          <m:boxPr>
            <m:ctrlPr>
              <w:rPr>
                <w:rFonts w:ascii="Cambria Math" w:hAnsi="Cambria Math"/>
              </w:rPr>
            </m:ctrlPr>
          </m:box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个样本）和严重度优先模式（按峰值 </w:t>
      </w:r>
      <m:oMath>
        <m:box>
          <m:boxPr>
            <m:ctrlPr>
              <w:rPr>
                <w:rFonts w:ascii="Cambria Math" w:hAnsi="Cambria Math"/>
              </w:rPr>
            </m:ctrlPr>
          </m:boxPr>
          <m:e>
            <m:limUpp>
              <m:limUppPr>
                <m:ctrlPr>
                  <w:rPr>
                    <w:rFonts w:ascii="Cambria Math" w:hAnsi="Cambria Math"/>
                  </w:rPr>
                </m:ctrlPr>
              </m:limUppPr>
              <m:e>
                <m:box>
                  <m:boxPr>
                    <m:ctrlPr>
                      <w:rPr>
                        <w:rFonts w:ascii="Cambria Math" w:hAnsi="Cambria Math"/>
                      </w:rPr>
                    </m:ctrlPr>
                  </m:boxPr>
                  <m:e>
                    <m:r>
                      <m:rPr/>
                      <w:rPr>
                        <w:rFonts w:ascii="Cambria Math" w:hAnsi="Cambria Math"/>
                      </w:rPr>
                      <m:t>Q</m:t>
                    </m:r>
                    <m:ctrlPr>
                      <w:rPr>
                        <w:rFonts w:ascii="Cambria Math" w:hAnsi="Cambria Math"/>
                      </w:rPr>
                    </m:ctrlPr>
                  </m:e>
                </m:box>
                <m:ctrlPr>
                  <w:rPr>
                    <w:rFonts w:ascii="Cambria Math" w:hAnsi="Cambria Math"/>
                  </w:rPr>
                </m:ctrlPr>
              </m:e>
              <m:lim>
                <m:r>
                  <m:rPr>
                    <m:sty m:val="p"/>
                  </m:rPr>
                  <w:rPr>
                    <w:rFonts w:ascii="Cambria Math" w:hAnsi="Cambria Math"/>
                  </w:rPr>
                  <m:t>~</m:t>
                </m:r>
                <m:ctrlPr>
                  <w:rPr>
                    <w:rFonts w:ascii="Cambria Math" w:hAnsi="Cambria Math"/>
                  </w:rPr>
                </m:ctrlPr>
              </m:lim>
            </m:limUpp>
            <m:ctrlPr>
              <w:rPr>
                <w:rFonts w:ascii="Cambria Math" w:hAnsi="Cambria Math"/>
              </w:rPr>
            </m:ctrlPr>
          </m:e>
        </m:box>
      </m:oMath>
      <w:r>
        <w:rPr>
          <w:rFonts w:ascii="微软雅黑" w:hAnsi="微软雅黑" w:eastAsia="微软雅黑"/>
          <w:sz w:val="18"/>
          <w:szCs w:val="18"/>
        </w:rPr>
        <w:t xml:space="preserve"> 降序采样），触发定向微调。</w:t>
      </w:r>
    </w:p>
    <w:p w14:paraId="11D3AE75">
      <w:pPr>
        <w:spacing w:line="276" w:lineRule="auto"/>
        <w:rPr>
          <w:rFonts w:hint="eastAsia" w:ascii="微软雅黑" w:hAnsi="微软雅黑" w:eastAsia="微软雅黑"/>
          <w:sz w:val="18"/>
          <w:szCs w:val="18"/>
        </w:rPr>
      </w:pPr>
      <w:r>
        <w:rPr>
          <w:rFonts w:ascii="微软雅黑" w:hAnsi="微软雅黑" w:eastAsia="微软雅黑"/>
          <w:b/>
          <w:bCs/>
          <w:sz w:val="18"/>
          <w:szCs w:val="18"/>
        </w:rPr>
        <w:t>回归验证</w:t>
      </w:r>
      <w:r>
        <w:rPr>
          <w:rFonts w:ascii="微软雅黑" w:hAnsi="微软雅黑" w:eastAsia="微软雅黑"/>
          <w:sz w:val="18"/>
          <w:szCs w:val="18"/>
        </w:rPr>
        <w:t xml:space="preserve"> ：新模型或新规则上线前，在回归基线集（从历史A级样本中固定抽取的 </w:t>
      </w:r>
      <m:oMath>
        <m:box>
          <m:boxPr>
            <m:ctrlPr>
              <w:rPr>
                <w:rFonts w:ascii="Cambria Math" w:hAnsi="Cambria Math"/>
              </w:rPr>
            </m:ctrlPr>
          </m:boxPr>
          <m:e>
            <m:sSub>
              <m:sSubPr>
                <m:ctrlPr>
                  <w:rPr>
                    <w:rFonts w:ascii="Cambria Math" w:hAnsi="Cambria Math"/>
                  </w:rPr>
                </m:ctrlPr>
              </m:sSubPr>
              <m:e>
                <m:r>
                  <m:rPr/>
                  <w:rPr>
                    <w:rFonts w:ascii="Cambria Math" w:hAnsi="Cambria Math"/>
                  </w:rPr>
                  <m:t>N</m:t>
                </m:r>
                <m:ctrlPr>
                  <w:rPr>
                    <w:rFonts w:ascii="Cambria Math" w:hAnsi="Cambria Math"/>
                  </w:rPr>
                </m:ctrlPr>
              </m:e>
              <m:sub>
                <m:box>
                  <m:boxPr>
                    <m:ctrlPr>
                      <w:rPr>
                        <w:rFonts w:ascii="Cambria Math" w:hAnsi="Cambria Math"/>
                      </w:rPr>
                    </m:ctrlPr>
                  </m:boxPr>
                  <m:e>
                    <m:r>
                      <m:rPr>
                        <m:nor/>
                        <m:sty m:val="p"/>
                      </m:rPr>
                      <w:rPr>
                        <w:b w:val="0"/>
                        <w:i w:val="0"/>
                      </w:rPr>
                      <m:t>base</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个标准样本）上计算各指标分布。采用Kolmogorov-Smirnov检验统计量 </w:t>
      </w:r>
      <m:oMath>
        <m:box>
          <m:boxPr>
            <m:ctrlPr>
              <w:rPr>
                <w:rFonts w:ascii="Cambria Math" w:hAnsi="Cambria Math"/>
              </w:rPr>
            </m:ctrlPr>
          </m:boxPr>
          <m:e>
            <m:sSub>
              <m:sSubPr>
                <m:ctrlPr>
                  <w:rPr>
                    <w:rFonts w:ascii="Cambria Math" w:hAnsi="Cambria Math"/>
                  </w:rPr>
                </m:ctrlPr>
              </m:sSubPr>
              <m:e>
                <m:r>
                  <m:rPr/>
                  <w:rPr>
                    <w:rFonts w:ascii="Cambria Math" w:hAnsi="Cambria Math"/>
                  </w:rPr>
                  <m:t>D</m:t>
                </m:r>
                <m:ctrlPr>
                  <w:rPr>
                    <w:rFonts w:ascii="Cambria Math" w:hAnsi="Cambria Math"/>
                  </w:rPr>
                </m:ctrlPr>
              </m:e>
              <m:sub>
                <m:box>
                  <m:boxPr>
                    <m:ctrlPr>
                      <w:rPr>
                        <w:rFonts w:ascii="Cambria Math" w:hAnsi="Cambria Math"/>
                      </w:rPr>
                    </m:ctrlPr>
                  </m:boxPr>
                  <m:e>
                    <m:r>
                      <m:rPr>
                        <m:nor/>
                        <m:sty m:val="p"/>
                      </m:rPr>
                      <w:rPr>
                        <w:b w:val="0"/>
                        <w:i w:val="0"/>
                      </w:rPr>
                      <m:t>KS</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或均值偏移量 </w:t>
      </w:r>
      <m:oMath>
        <m:box>
          <m:boxPr>
            <m:ctrlPr>
              <w:rPr>
                <w:rFonts w:ascii="Cambria Math" w:hAnsi="Cambria Math"/>
              </w:rPr>
            </m:ctrlPr>
          </m:boxPr>
          <m:e>
            <m:r>
              <m:rPr/>
              <w:rPr>
                <w:rFonts w:ascii="Cambria Math" w:hAnsi="Cambria Math"/>
              </w:rPr>
              <m:t>Δ</m:t>
            </m:r>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衡量退化程度；若任一关键指标 </w:t>
      </w:r>
      <m:oMath>
        <m:box>
          <m:boxPr>
            <m:ctrlPr>
              <w:rPr>
                <w:rFonts w:ascii="Cambria Math" w:hAnsi="Cambria Math"/>
              </w:rPr>
            </m:ctrlPr>
          </m:boxPr>
          <m:e>
            <m:r>
              <m:rPr/>
              <w:rPr>
                <w:rFonts w:ascii="Cambria Math" w:hAnsi="Cambria Math"/>
              </w:rPr>
              <m:t>Δ</m:t>
            </m:r>
            <m:sSub>
              <m:sSubPr>
                <m:ctrlPr>
                  <w:rPr>
                    <w:rFonts w:ascii="Cambria Math" w:hAnsi="Cambria Math"/>
                  </w:rPr>
                </m:ctrlPr>
              </m:sSubPr>
              <m:e>
                <m:acc>
                  <m:accPr>
                    <m:chr m:val="̅"/>
                    <m:ctrlPr>
                      <w:rPr>
                        <w:rFonts w:ascii="Cambria Math" w:hAnsi="Cambria Math"/>
                      </w:rPr>
                    </m:ctrlPr>
                  </m:accPr>
                  <m:e>
                    <m:r>
                      <m:rPr/>
                      <w:rPr>
                        <w:rFonts w:ascii="Cambria Math" w:hAnsi="Cambria Math"/>
                      </w:rPr>
                      <m:t>Q</m:t>
                    </m:r>
                    <m:ctrlPr>
                      <w:rPr>
                        <w:rFonts w:ascii="Cambria Math" w:hAnsi="Cambria Math"/>
                      </w:rPr>
                    </m:ctrlPr>
                  </m:e>
                </m:acc>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或 </w:t>
      </w:r>
      <m:oMath>
        <m:box>
          <m:boxPr>
            <m:ctrlPr>
              <w:rPr>
                <w:rFonts w:ascii="Cambria Math" w:hAnsi="Cambria Math"/>
              </w:rPr>
            </m:ctrlPr>
          </m:boxPr>
          <m:e>
            <m:sSub>
              <m:sSubPr>
                <m:ctrlPr>
                  <w:rPr>
                    <w:rFonts w:ascii="Cambria Math" w:hAnsi="Cambria Math"/>
                  </w:rPr>
                </m:ctrlPr>
              </m:sSubPr>
              <m:e>
                <m:r>
                  <m:rPr/>
                  <w:rPr>
                    <w:rFonts w:ascii="Cambria Math" w:hAnsi="Cambria Math"/>
                  </w:rPr>
                  <m:t>D</m:t>
                </m:r>
                <m:ctrlPr>
                  <w:rPr>
                    <w:rFonts w:ascii="Cambria Math" w:hAnsi="Cambria Math"/>
                  </w:rPr>
                </m:ctrlPr>
              </m:e>
              <m:sub>
                <m:box>
                  <m:boxPr>
                    <m:ctrlPr>
                      <w:rPr>
                        <w:rFonts w:ascii="Cambria Math" w:hAnsi="Cambria Math"/>
                      </w:rPr>
                    </m:ctrlPr>
                  </m:boxPr>
                  <m:e>
                    <m:r>
                      <m:rPr>
                        <m:nor/>
                        <m:sty m:val="p"/>
                      </m:rPr>
                      <w:rPr>
                        <w:b w:val="0"/>
                        <w:i w:val="0"/>
                      </w:rPr>
                      <m:t>KS</m:t>
                    </m:r>
                    <m:ctrlPr>
                      <w:rPr>
                        <w:rFonts w:ascii="Cambria Math" w:hAnsi="Cambria Math"/>
                      </w:rPr>
                    </m:ctrlPr>
                  </m:e>
                </m:box>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D</m:t>
                </m:r>
                <m:ctrlPr>
                  <w:rPr>
                    <w:rFonts w:ascii="Cambria Math" w:hAnsi="Cambria Math"/>
                  </w:rPr>
                </m:ctrlPr>
              </m:e>
              <m:sub>
                <m:box>
                  <m:boxPr>
                    <m:ctrlPr>
                      <w:rPr>
                        <w:rFonts w:ascii="Cambria Math" w:hAnsi="Cambria Math"/>
                      </w:rPr>
                    </m:ctrlPr>
                  </m:boxPr>
                  <m:e>
                    <m:r>
                      <m:rPr>
                        <m:nor/>
                        <m:sty m:val="p"/>
                      </m:rPr>
                      <w:rPr>
                        <w:b w:val="0"/>
                        <w:i w:val="0"/>
                      </w:rPr>
                      <m:t>crit</m:t>
                    </m:r>
                    <m:ctrlPr>
                      <w:rPr>
                        <w:rFonts w:ascii="Cambria Math" w:hAnsi="Cambria Math"/>
                      </w:rPr>
                    </m:ctrlPr>
                  </m:e>
                </m:box>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则阻断发布并触发告警，同时生成回归报告</w:t>
      </w:r>
      <w:r>
        <w:rPr>
          <w:rFonts w:hint="eastAsia" w:ascii="微软雅黑" w:hAnsi="微软雅黑" w:eastAsia="微软雅黑"/>
          <w:sz w:val="18"/>
          <w:szCs w:val="18"/>
          <w:lang w:eastAsia="zh-CN"/>
        </w:rPr>
        <w:t>表明</w:t>
      </w:r>
      <w:r>
        <w:rPr>
          <w:rFonts w:ascii="微软雅黑" w:hAnsi="微软雅黑" w:eastAsia="微软雅黑"/>
          <w:sz w:val="18"/>
          <w:szCs w:val="18"/>
        </w:rPr>
        <w:t>退化最严重的指标维度。</w:t>
      </w:r>
    </w:p>
    <w:p w14:paraId="00D8841E">
      <w:pPr>
        <w:spacing w:line="276" w:lineRule="auto"/>
        <w:rPr>
          <w:rFonts w:hint="eastAsia" w:ascii="微软雅黑" w:hAnsi="微软雅黑" w:eastAsia="微软雅黑"/>
          <w:sz w:val="18"/>
          <w:szCs w:val="18"/>
        </w:rPr>
      </w:pPr>
      <w:r>
        <w:rPr>
          <w:rFonts w:ascii="微软雅黑" w:hAnsi="微软雅黑" w:eastAsia="微软雅黑"/>
          <w:b/>
          <w:bCs/>
          <w:sz w:val="18"/>
          <w:szCs w:val="18"/>
        </w:rPr>
        <w:t>策略更新</w:t>
      </w:r>
      <w:r>
        <w:rPr>
          <w:rFonts w:ascii="微软雅黑" w:hAnsi="微软雅黑" w:eastAsia="微软雅黑"/>
          <w:sz w:val="18"/>
          <w:szCs w:val="18"/>
        </w:rPr>
        <w:t xml:space="preserve"> ：根据回归结果中指标变化趋势，建议调整聚合权重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和阈值 </w:t>
      </w:r>
      <m:oMath>
        <m:box>
          <m:boxPr>
            <m:ctrlPr>
              <w:rPr>
                <w:rFonts w:ascii="Cambria Math" w:hAnsi="Cambria Math"/>
              </w:rPr>
            </m:ctrlPr>
          </m:box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。更新规则：若指标 </w:t>
      </w:r>
      <m:oMath>
        <m:box>
          <m:boxPr>
            <m:ctrlPr>
              <w:rPr>
                <w:rFonts w:ascii="Cambria Math" w:hAnsi="Cambria Math"/>
              </w:rPr>
            </m:ctrlPr>
          </m:boxPr>
          <m:e>
            <m:r>
              <m:rPr/>
              <w:rPr>
                <w:rFonts w:ascii="Cambria Math" w:hAnsi="Cambria Math"/>
              </w:rPr>
              <m:t>i</m:t>
            </m:r>
            <m:ctrlPr>
              <w:rPr>
                <w:rFonts w:ascii="Cambria Math" w:hAnsi="Cambria Math"/>
              </w:rPr>
            </m:ctrlPr>
          </m:e>
        </m:box>
      </m:oMath>
      <w:r>
        <w:rPr>
          <w:rFonts w:ascii="微软雅黑" w:hAnsi="微软雅黑" w:eastAsia="微软雅黑"/>
          <w:sz w:val="18"/>
          <w:szCs w:val="18"/>
        </w:rPr>
        <w:t xml:space="preserve"> 误报率偏高（B级中人工复核为正常的比例 &gt; 30%），则建议降低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并收紧 </w:t>
      </w:r>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high</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 xml:space="preserve">；若漏检率偏高，则提高 </w:t>
      </w:r>
      <m:oMath>
        <m:box>
          <m:boxPr>
            <m:ctrlPr>
              <w:rPr>
                <w:rFonts w:ascii="Cambria Math" w:hAnsi="Cambria Math"/>
              </w:rPr>
            </m:ctrlPr>
          </m:boxPr>
          <m:e>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box>
      </m:oMath>
      <w:r>
        <w:rPr>
          <w:rFonts w:ascii="微软雅黑" w:hAnsi="微软雅黑" w:eastAsia="微软雅黑"/>
          <w:sz w:val="18"/>
          <w:szCs w:val="18"/>
        </w:rPr>
        <w:t xml:space="preserve"> 并放宽 </w:t>
      </w:r>
      <m:oMath>
        <m:box>
          <m:boxPr>
            <m:ctrlPr>
              <w:rPr>
                <w:rFonts w:ascii="Cambria Math" w:hAnsi="Cambria Math"/>
              </w:rPr>
            </m:ctrlPr>
          </m:boxPr>
          <m:e>
            <m:sSubSup>
              <m:sSubSupPr>
                <m:ctrlPr>
                  <w:rPr>
                    <w:rFonts w:ascii="Cambria Math" w:hAnsi="Cambria Math"/>
                  </w:rPr>
                </m:ctrlPr>
              </m:sSubSup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up>
                <m:box>
                  <m:boxPr>
                    <m:ctrlPr>
                      <w:rPr>
                        <w:rFonts w:ascii="Cambria Math" w:hAnsi="Cambria Math"/>
                      </w:rPr>
                    </m:ctrlPr>
                  </m:boxPr>
                  <m:e>
                    <m:r>
                      <m:rPr>
                        <m:nor/>
                        <m:sty m:val="p"/>
                      </m:rPr>
                      <w:rPr>
                        <w:b w:val="0"/>
                        <w:i w:val="0"/>
                      </w:rPr>
                      <m:t>low</m:t>
                    </m:r>
                    <m:ctrlPr>
                      <w:rPr>
                        <w:rFonts w:ascii="Cambria Math" w:hAnsi="Cambria Math"/>
                      </w:rPr>
                    </m:ctrlPr>
                  </m:e>
                </m:box>
                <m:ctrlPr>
                  <w:rPr>
                    <w:rFonts w:ascii="Cambria Math" w:hAnsi="Cambria Math"/>
                  </w:rPr>
                </m:ctrlPr>
              </m:sup>
            </m:sSubSup>
            <m:ctrlPr>
              <w:rPr>
                <w:rFonts w:ascii="Cambria Math" w:hAnsi="Cambria Math"/>
              </w:rPr>
            </m:ctrlPr>
          </m:e>
        </m:box>
      </m:oMath>
      <w:r>
        <w:rPr>
          <w:rFonts w:ascii="微软雅黑" w:hAnsi="微软雅黑" w:eastAsia="微软雅黑"/>
          <w:sz w:val="18"/>
          <w:szCs w:val="18"/>
        </w:rPr>
        <w:t>。所有调整以语义化版本号发布并记录变更日志。</w:t>
      </w:r>
    </w:p>
    <w:p w14:paraId="0D511C90">
      <w:pPr>
        <w:jc w:val="center"/>
      </w:pPr>
      <w:r>
        <w:drawing>
          <wp:inline distT="0" distB="0" distL="0" distR="0">
            <wp:extent cx="4572000" cy="2493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4572000" cy="2493818"/>
                    </a:xfrm>
                    <a:prstGeom prst="rect">
                      <a:avLst/>
                    </a:prstGeom>
                  </pic:spPr>
                </pic:pic>
              </a:graphicData>
            </a:graphic>
          </wp:inline>
        </w:drawing>
      </w:r>
    </w:p>
    <w:p w14:paraId="7BC1737D">
      <w:pPr>
        <w:jc w:val="center"/>
      </w:pPr>
      <w:r>
        <w:rPr>
          <w:sz w:val="18"/>
          <w:szCs w:val="18"/>
        </w:rPr>
        <w:t>图4 数据闭环迭代流程图</w:t>
      </w:r>
    </w:p>
    <w:p w14:paraId="47786A13">
      <w:pPr>
        <w:spacing w:line="276" w:lineRule="auto"/>
        <w:rPr>
          <w:rFonts w:hint="eastAsia" w:ascii="微软雅黑" w:hAnsi="微软雅黑" w:eastAsia="微软雅黑"/>
          <w:sz w:val="18"/>
          <w:szCs w:val="18"/>
        </w:rPr>
      </w:pPr>
      <w:r>
        <w:rPr>
          <w:rFonts w:ascii="微软雅黑" w:hAnsi="微软雅黑" w:eastAsia="微软雅黑"/>
          <w:sz w:val="18"/>
          <w:szCs w:val="18"/>
        </w:rPr>
        <w:t>4.2.7 工程实现与扩展性</w:t>
      </w:r>
    </w:p>
    <w:p w14:paraId="718A2D19">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批量并行架构：</w:t>
      </w:r>
      <w:r>
        <w:rPr>
          <w:rFonts w:ascii="微软雅黑" w:hAnsi="微软雅黑" w:eastAsia="微软雅黑"/>
          <w:sz w:val="18"/>
          <w:szCs w:val="18"/>
        </w:rPr>
        <w:t xml:space="preserve">各指标插件可在独立线程/进程中并发执行，支持按帧分片（将 </w:t>
      </w:r>
      <m:oMath>
        <m:box>
          <m:boxPr>
            <m:ctrlPr>
              <w:rPr>
                <w:rFonts w:ascii="Cambria Math" w:hAnsi="Cambria Math"/>
              </w:rPr>
            </m:ctrlPr>
          </m:boxPr>
          <m:e>
            <m:r>
              <m:rPr/>
              <w:rPr>
                <w:rFonts w:ascii="Cambria Math" w:hAnsi="Cambria Math"/>
              </w:rPr>
              <m:t>T</m:t>
            </m:r>
            <m:ctrlPr>
              <w:rPr>
                <w:rFonts w:ascii="Cambria Math" w:hAnsi="Cambria Math"/>
              </w:rPr>
            </m:ctrlPr>
          </m:e>
        </m:box>
      </m:oMath>
      <w:r>
        <w:rPr>
          <w:rFonts w:ascii="微软雅黑" w:hAnsi="微软雅黑" w:eastAsia="微软雅黑"/>
          <w:sz w:val="18"/>
          <w:szCs w:val="18"/>
        </w:rPr>
        <w:t xml:space="preserve"> 帧序列按 </w:t>
      </w:r>
      <m:oMath>
        <m:box>
          <m:boxPr>
            <m:ctrlPr>
              <w:rPr>
                <w:rFonts w:ascii="Cambria Math" w:hAnsi="Cambria Math"/>
              </w:rPr>
            </m:ctrlPr>
          </m:boxPr>
          <m:e>
            <m:r>
              <m:rPr/>
              <w:rPr>
                <w:rFonts w:ascii="Cambria Math" w:hAnsi="Cambria Math"/>
              </w:rPr>
              <m:t>⌈T</m:t>
            </m:r>
            <m:r>
              <m:rPr>
                <m:sty m:val="p"/>
              </m:rPr>
              <w:rPr>
                <w:rFonts w:ascii="Cambria Math" w:hAnsi="Cambria Math"/>
              </w:rPr>
              <m:t>/</m:t>
            </m:r>
            <m:r>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 分配至 </w:t>
      </w:r>
      <m:oMath>
        <m:box>
          <m:boxPr>
            <m:ctrlPr>
              <w:rPr>
                <w:rFonts w:ascii="Cambria Math" w:hAnsi="Cambria Math"/>
              </w:rPr>
            </m:ctrlPr>
          </m:boxPr>
          <m:e>
            <m:r>
              <m:rPr/>
              <w:rPr>
                <w:rFonts w:ascii="Cambria Math" w:hAnsi="Cambria Math"/>
              </w:rPr>
              <m:t>P</m:t>
            </m:r>
            <m:ctrlPr>
              <w:rPr>
                <w:rFonts w:ascii="Cambria Math" w:hAnsi="Cambria Math"/>
              </w:rPr>
            </m:ctrlPr>
          </m:e>
        </m:box>
      </m:oMath>
      <w:r>
        <w:rPr>
          <w:rFonts w:ascii="微软雅黑" w:hAnsi="微软雅黑" w:eastAsia="微软雅黑"/>
          <w:sz w:val="18"/>
          <w:szCs w:val="18"/>
        </w:rPr>
        <w:t xml:space="preserve"> 个工作进程）与按部件分区两级并行，单次任务可处理数万帧级别的动画序列。</w:t>
      </w:r>
    </w:p>
    <w:p w14:paraId="5CF0FBE3">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标准化存储与对接：</w:t>
      </w:r>
      <w:r>
        <w:rPr>
          <w:rFonts w:ascii="微软雅黑" w:hAnsi="微软雅黑" w:eastAsia="微软雅黑"/>
          <w:sz w:val="18"/>
          <w:szCs w:val="18"/>
        </w:rPr>
        <w:t>指标计算结果以统一JSON Schema存储，每条记录包含 `sample_id`、`frame_range`、`metric_scores`（分项分数字典）、`quality_grade`、`anomaly_regions`（连通域列表）和 `rule_version` 等字段，支持与主流数据分析及可视化平台对接。</w:t>
      </w:r>
    </w:p>
    <w:p w14:paraId="23FC0B35">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可扩展插件机制：</w:t>
      </w:r>
      <w:r>
        <w:rPr>
          <w:rFonts w:ascii="微软雅黑" w:hAnsi="微软雅黑" w:eastAsia="微软雅黑"/>
          <w:sz w:val="18"/>
          <w:szCs w:val="18"/>
        </w:rPr>
        <w:t>每个指标插件需实现标准接口 `compute(mesh_data, config) → MetricResult`，其中 `MetricResult` 包含 `score`、`localization`、`metadata` 三个字段。新增指标只需实现该接口并注册至插件中心，支持条件触发（如仅在穿插指标超阈值后才触发粘连指标的精细计算）。</w:t>
      </w:r>
    </w:p>
    <w:p w14:paraId="1746BEA2">
      <w:pPr>
        <w:spacing w:line="276" w:lineRule="auto"/>
        <w:ind w:firstLine="360" w:firstLineChars="200"/>
        <w:rPr>
          <w:rFonts w:hint="eastAsia" w:ascii="微软雅黑" w:hAnsi="微软雅黑" w:eastAsia="微软雅黑"/>
          <w:sz w:val="18"/>
          <w:szCs w:val="18"/>
        </w:rPr>
      </w:pPr>
      <w:r>
        <w:rPr>
          <w:rFonts w:ascii="微软雅黑" w:hAnsi="微软雅黑" w:eastAsia="微软雅黑"/>
          <w:b/>
          <w:bCs/>
          <w:sz w:val="18"/>
          <w:szCs w:val="18"/>
        </w:rPr>
        <w:t>版本化配置管理：</w:t>
      </w:r>
      <w:r>
        <w:rPr>
          <w:rFonts w:ascii="微软雅黑" w:hAnsi="微软雅黑" w:eastAsia="微软雅黑"/>
          <w:sz w:val="18"/>
          <w:szCs w:val="18"/>
        </w:rPr>
        <w:t>规则、阈值与聚合权重均以语义化版本号（SemVer）管理，每次变更生成差异摘要。历史评估结果可按 `rule_version` 字段回溯当时使用的完整配置集合，支持全链路审计。</w:t>
      </w:r>
    </w:p>
    <w:p w14:paraId="100C002E">
      <w:pPr>
        <w:spacing w:line="276" w:lineRule="auto"/>
        <w:rPr>
          <w:rFonts w:hint="eastAsia" w:ascii="微软雅黑" w:hAnsi="微软雅黑" w:eastAsia="微软雅黑"/>
          <w:sz w:val="18"/>
          <w:szCs w:val="18"/>
        </w:rPr>
      </w:pPr>
      <w:r>
        <w:rPr>
          <w:rFonts w:hint="eastAsia" w:ascii="微软雅黑" w:hAnsi="微软雅黑" w:eastAsia="微软雅黑"/>
          <w:sz w:val="18"/>
          <w:szCs w:val="18"/>
        </w:rPr>
        <w:t>4</w:t>
      </w:r>
      <w:r>
        <w:rPr>
          <w:rFonts w:ascii="微软雅黑" w:hAnsi="微软雅黑" w:eastAsia="微软雅黑"/>
          <w:sz w:val="18"/>
          <w:szCs w:val="18"/>
        </w:rPr>
        <w:t>.3</w:t>
      </w:r>
      <w:r>
        <w:rPr>
          <w:rFonts w:hint="eastAsia" w:ascii="微软雅黑" w:hAnsi="微软雅黑" w:eastAsia="微软雅黑"/>
          <w:sz w:val="18"/>
          <w:szCs w:val="18"/>
        </w:rPr>
        <w:t>专利方案所产生的有益效果</w:t>
      </w:r>
      <w:r>
        <w:rPr>
          <w:rFonts w:hint="eastAsia" w:ascii="微软雅黑" w:hAnsi="微软雅黑" w:eastAsia="微软雅黑"/>
          <w:color w:val="FF0000"/>
          <w:sz w:val="18"/>
          <w:szCs w:val="18"/>
        </w:rPr>
        <w:t>（必填）</w:t>
      </w:r>
    </w:p>
    <w:p w14:paraId="376FA87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本发明在生产验证场景中具备以下可量化的有益效果：</w:t>
      </w:r>
    </w:p>
    <w:p w14:paraId="519DFF0B">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效果一：大幅降低人工评估成本</w:t>
      </w:r>
    </w:p>
    <w:p w14:paraId="354E3CD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将重复性质检任务转为自动执行，人工仅处理B级边界样本和抽检样本，审核工时可显著减少。</w:t>
      </w:r>
    </w:p>
    <w:p w14:paraId="1580B08A">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效果二：无GT场景稳定落地</w:t>
      </w:r>
    </w:p>
    <w:p w14:paraId="05016CF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无需大规模人工标注即可实现稳定评分与持续监控，解决了监督式方案在数据稀缺场景下的落地困境。</w:t>
      </w:r>
    </w:p>
    <w:p w14:paraId="22BDD024">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效果三：异常识别覆盖更全面</w:t>
      </w:r>
    </w:p>
    <w:p w14:paraId="66E6C67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多指标协同可同时识别穿插、粘连、共线、能量异常等复合问题，相较单指标方案漏检率显著下降。</w:t>
      </w:r>
    </w:p>
    <w:p w14:paraId="3E580DA8">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效果四：定位精度提升，修复效率提高</w:t>
      </w:r>
    </w:p>
    <w:p w14:paraId="5310C4BD">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区域级可解释定位将人工排查时间从全序列检视缩短为定向区域确认，修复效率显著提升。</w:t>
      </w:r>
    </w:p>
    <w:p w14:paraId="45587747">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效果五：训练数据质量持续改进</w:t>
      </w:r>
    </w:p>
    <w:p w14:paraId="6DE4B8D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通过自动清洗、降权与难例挖掘优化数据分布，定向微调后关键部位异常率可随迭代持续下降。</w:t>
      </w:r>
    </w:p>
    <w:p w14:paraId="7A949022">
      <w:pPr>
        <w:spacing w:line="276" w:lineRule="auto"/>
        <w:rPr>
          <w:rFonts w:hint="eastAsia" w:ascii="微软雅黑" w:hAnsi="微软雅黑" w:eastAsia="微软雅黑"/>
          <w:sz w:val="18"/>
          <w:szCs w:val="18"/>
        </w:rPr>
      </w:pPr>
      <w:r>
        <w:rPr>
          <w:rFonts w:ascii="微软雅黑" w:hAnsi="微软雅黑" w:eastAsia="微软雅黑"/>
          <w:b/>
          <w:bCs/>
          <w:sz w:val="18"/>
          <w:szCs w:val="18"/>
        </w:rPr>
        <w:t>效果六：发布质量可控、版本波动可监控</w:t>
      </w:r>
    </w:p>
    <w:p w14:paraId="306A5BD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闭环回归机制提前发现质量退化并阻断风险发布，版本回归通过率提升，线上质量波动降低。</w:t>
      </w:r>
    </w:p>
    <w:p w14:paraId="7B513751">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上述效果来源于"评估、定位、决策、训练联动"全链路协同，而非单一规则的堆叠，因此具备持续扩展能力和跨项目复用价值。</w:t>
      </w:r>
    </w:p>
    <w:p w14:paraId="75C408D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在不偏离本发明核心思想的前提下，可采用以下替代实施路径：</w:t>
      </w:r>
    </w:p>
    <w:p w14:paraId="7C935DCA">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替代方案一：聚合器替代</w:t>
      </w:r>
    </w:p>
    <w:p w14:paraId="3C82182D">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加权和聚合可替换为规则树（按优先级顺序判断）、学习排序器（LTR）或贝叶斯融合器，只要保持输出质量分级与可解释路径的特性，均属于本发明的扩展范围。</w:t>
      </w:r>
    </w:p>
    <w:p w14:paraId="65E651AF">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替代方案二：阈值策略替代</w:t>
      </w:r>
    </w:p>
    <w:p w14:paraId="4FD89086">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固定阈值可替换为基于滑动窗口的漂移感知阈值，或利用Isolation Forest、MAD等统计方法的自适应离群点阈值，以适配数据分布动态变化的场景。</w:t>
      </w:r>
    </w:p>
    <w:p w14:paraId="422D3860">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替代方案三：指标集替代</w:t>
      </w:r>
    </w:p>
    <w:p w14:paraId="5BD89097">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可按业务需求增减指标，如添加体积保持指标、骨骼驱动冲突指标、碰撞持续时长指标等；也可将本发明现有指标替换为更精细的计算版本，前提是保持插件化接口不变。</w:t>
      </w:r>
    </w:p>
    <w:p w14:paraId="1E2FE945">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替代方案四：闭环动作替代</w:t>
      </w:r>
    </w:p>
    <w:p w14:paraId="2F14AB93">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"剔除"动作可替换为"修复任务自动派发"（触发专利5的后处理算子），"降权"动作可替换为"课程式采样权重调度"，以适配不同训练框架的数据加载策略。</w:t>
      </w:r>
    </w:p>
    <w:p w14:paraId="4706E006">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替代方案五：部署方式替代</w:t>
      </w:r>
    </w:p>
    <w:p w14:paraId="6DCD13C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可离线批处理执行，也可部署为在线推理质量闸门；可单机执行，也可在分布式任务调度框架上横向扩展，以适配大规模资产处理场景。</w:t>
      </w:r>
    </w:p>
    <w:p w14:paraId="6F7DA691">
      <w:pPr>
        <w:spacing w:line="276" w:lineRule="auto"/>
        <w:rPr>
          <w:rFonts w:hint="eastAsia" w:ascii="微软雅黑" w:hAnsi="微软雅黑" w:eastAsia="微软雅黑"/>
          <w:sz w:val="18"/>
          <w:szCs w:val="18"/>
        </w:rPr>
      </w:pPr>
      <w:r>
        <w:rPr>
          <w:rFonts w:ascii="微软雅黑" w:hAnsi="微软雅黑" w:eastAsia="微软雅黑"/>
          <w:b/>
          <w:bCs/>
          <w:sz w:val="18"/>
          <w:szCs w:val="18"/>
        </w:rPr>
        <w:t>替代方案六：反馈源替代</w:t>
      </w:r>
    </w:p>
    <w:p w14:paraId="426BF5B2">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除训练回归结果外，还可接入用户编辑日志（如美术手动修复记录）、线上异常报警或A/B测试用户反馈作为补充质量信号，进一步丰富闭环反馈来源。</w:t>
      </w:r>
    </w:p>
    <w:p w14:paraId="42BD9298">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因此，本发明的保护重点在于：无GT前提下的多指标评估机制、可解释异常定位、自动化数据闭环联动及版本回归控制，而非某一具体单项指标公式。</w:t>
      </w:r>
    </w:p>
    <w:p w14:paraId="7DAD9E64">
      <w:pPr>
        <w:spacing w:line="276" w:lineRule="auto"/>
        <w:rPr>
          <w:rFonts w:hint="eastAsia" w:ascii="微软雅黑" w:hAnsi="微软雅黑" w:eastAsia="微软雅黑"/>
          <w:sz w:val="18"/>
          <w:szCs w:val="18"/>
        </w:rPr>
      </w:pPr>
      <w:r>
        <w:rPr>
          <w:rFonts w:ascii="微软雅黑" w:hAnsi="微软雅黑" w:eastAsia="微软雅黑"/>
          <w:sz w:val="18"/>
          <w:szCs w:val="18"/>
        </w:rPr>
        <w:t>5</w:t>
      </w:r>
      <w:r>
        <w:rPr>
          <w:rFonts w:hint="eastAsia" w:ascii="微软雅黑" w:hAnsi="微软雅黑" w:eastAsia="微软雅黑"/>
          <w:sz w:val="18"/>
          <w:szCs w:val="18"/>
        </w:rPr>
        <w:t>、</w:t>
      </w:r>
      <w:r>
        <w:rPr>
          <w:rFonts w:hint="eastAsia" w:ascii="微软雅黑" w:hAnsi="微软雅黑" w:eastAsia="微软雅黑"/>
          <w:bCs/>
          <w:sz w:val="18"/>
          <w:szCs w:val="18"/>
        </w:rPr>
        <w:t>参考文献（如：专利/论文/网页/期刊）</w:t>
      </w:r>
    </w:p>
    <w:p w14:paraId="08A265FB">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[1] Bridson, R., Marino, S., &amp; Fedkiw, R. (2003). Simulation of Clothing with Folds and Wrinkles. ACM SIGGRAPH/Eurographics SCA. https://dl.acm.org/doi/10.5555/846276.846288</w:t>
      </w:r>
    </w:p>
    <w:p w14:paraId="592F0734">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[2] Tang, M., Wang, H., Tang, L., Tong, R., &amp; Manocha, D. (2018). CAMA: Contact-Aware Matrix Assembly with Unified Collision Handling for GPU-Based Cloth Simulation. Computer Graphics Forum. https://dl.acm.org/doi/10.1145/3197517.3201363</w:t>
      </w:r>
    </w:p>
    <w:p w14:paraId="7C34387E">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[3] Shrivastava, A., Gupta, A., &amp; Girshick, R. (2016). Training Region-based Object Detectors with Online Hard Example Mining. CVPR. https://arxiv.org/abs/1604.03540</w:t>
      </w:r>
    </w:p>
    <w:p w14:paraId="7A683B79">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[4] Blender Manual — Weight Paint and Mesh Analysis. https://docs.blender.org/manual/en/latest/</w:t>
      </w:r>
    </w:p>
    <w:p w14:paraId="0BBE7AF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[5] Open3D Documentation — Geometry Processing APIs. https://www.open3d.org/docs/release/</w:t>
      </w:r>
    </w:p>
    <w:p w14:paraId="2580C9E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[6] SciPy Documentation — Signal processing and optimization modules. https://docs.scipy.org/doc/scipy/reference/</w:t>
      </w:r>
    </w:p>
    <w:p w14:paraId="58CF3B4C">
      <w:pPr>
        <w:spacing w:line="276" w:lineRule="auto"/>
        <w:ind w:firstLine="360" w:firstLineChars="200"/>
        <w:rPr>
          <w:rFonts w:hint="eastAsia" w:ascii="微软雅黑" w:hAnsi="微软雅黑" w:eastAsia="微软雅黑"/>
          <w:sz w:val="18"/>
          <w:szCs w:val="18"/>
        </w:rPr>
      </w:pPr>
      <w:r>
        <w:rPr>
          <w:rFonts w:ascii="微软雅黑" w:hAnsi="微软雅黑" w:eastAsia="微软雅黑"/>
          <w:sz w:val="18"/>
          <w:szCs w:val="18"/>
        </w:rPr>
        <w:t>[7] Chandola, V., Banerjee, A., &amp; Kumar, V. (2009). Anomaly Detection: A Survey. ACM Computing Surveys, 41(3). https://doi.org/10.1145/1541880.1541882</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YZ" w:date="2026-06-03T08:36:58Z" w:initials="">
    <w:p w14:paraId="15C5920A">
      <w:pPr>
        <w:pStyle w:val="3"/>
        <w:rPr>
          <w:rFonts w:hint="default" w:eastAsia="宋体"/>
          <w:lang w:val="en-US" w:eastAsia="zh-CN"/>
        </w:rPr>
      </w:pPr>
      <w:r>
        <w:rPr>
          <w:rFonts w:hint="eastAsia"/>
          <w:lang w:val="en-US" w:eastAsia="zh-CN"/>
        </w:rPr>
        <w:t>进行质量评估的不是AI模型，是本申请可以实现多指标计算并基于多指标实现质量评估的方法（引擎）</w:t>
      </w:r>
    </w:p>
  </w:comment>
  <w:comment w:id="1" w:author="DYZ" w:date="2026-06-03T08:40:24Z" w:initials="">
    <w:p w14:paraId="0265B853">
      <w:pPr>
        <w:pStyle w:val="3"/>
        <w:rPr>
          <w:rFonts w:hint="eastAsia"/>
          <w:lang w:val="en-US" w:eastAsia="zh-CN"/>
        </w:rPr>
      </w:pPr>
      <w:r>
        <w:rPr>
          <w:rFonts w:hint="eastAsia"/>
          <w:lang w:val="en-US" w:eastAsia="zh-CN"/>
        </w:rPr>
        <w:t>这里是指联动训练一个用于生成蒙皮权重的AI模型；</w:t>
      </w:r>
    </w:p>
    <w:p w14:paraId="5C08C609">
      <w:pPr>
        <w:pStyle w:val="3"/>
        <w:rPr>
          <w:rFonts w:hint="eastAsia" w:ascii="微软雅黑" w:hAnsi="微软雅黑" w:eastAsia="微软雅黑"/>
          <w:sz w:val="18"/>
          <w:szCs w:val="18"/>
          <w:lang w:val="en-US" w:eastAsia="zh-CN"/>
        </w:rPr>
      </w:pPr>
      <w:r>
        <w:rPr>
          <w:rFonts w:hint="eastAsia"/>
          <w:lang w:val="en-US" w:eastAsia="zh-CN"/>
        </w:rPr>
        <w:t>即基于上面质量评估的结果中A级和B级的蒙皮数据中的蒙皮权重作为AI模型的标注标签；绑定姿态网格和骨骼（这里骨骼具体指什么）</w:t>
      </w:r>
      <w:r>
        <w:rPr>
          <w:rFonts w:hint="eastAsia" w:ascii="微软雅黑" w:hAnsi="微软雅黑" w:eastAsia="微软雅黑"/>
          <w:sz w:val="18"/>
          <w:szCs w:val="18"/>
          <w:lang w:val="en-US" w:eastAsia="zh-CN"/>
        </w:rPr>
        <w:t>作为模型的输入。</w:t>
      </w:r>
    </w:p>
    <w:p w14:paraId="1A775B90">
      <w:pPr>
        <w:pStyle w:val="3"/>
        <w:rPr>
          <w:rFonts w:hint="eastAsia" w:ascii="微软雅黑" w:hAnsi="微软雅黑" w:eastAsia="微软雅黑"/>
          <w:sz w:val="18"/>
          <w:szCs w:val="18"/>
          <w:lang w:val="en-US" w:eastAsia="zh-CN"/>
        </w:rPr>
      </w:pPr>
    </w:p>
    <w:p w14:paraId="28939E74">
      <w:pPr>
        <w:pStyle w:val="3"/>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一开始进行蒙皮数据中的蒙皮权重也是通过</w:t>
      </w:r>
      <w:r>
        <w:rPr>
          <w:rFonts w:hint="eastAsia"/>
          <w:lang w:val="en-US" w:eastAsia="zh-CN"/>
        </w:rPr>
        <w:t>用于生成蒙皮权重的AI模型生成？</w:t>
      </w:r>
    </w:p>
  </w:comment>
  <w:comment w:id="2" w:author="DYZ" w:date="2026-06-03T09:28:59Z" w:initials="">
    <w:p w14:paraId="2DC47903">
      <w:pPr>
        <w:pStyle w:val="3"/>
        <w:rPr>
          <w:rFonts w:hint="eastAsia" w:ascii="微软雅黑" w:hAnsi="微软雅黑" w:eastAsia="微软雅黑"/>
          <w:sz w:val="18"/>
          <w:szCs w:val="18"/>
          <w:lang w:val="en-US" w:eastAsia="zh-CN"/>
        </w:rPr>
      </w:pPr>
      <w:r>
        <w:rPr>
          <w:rFonts w:ascii="微软雅黑" w:hAnsi="微软雅黑" w:eastAsia="微软雅黑"/>
          <w:sz w:val="18"/>
          <w:szCs w:val="18"/>
        </w:rPr>
        <w:t>权重矩阵</w:t>
      </w:r>
      <w:r>
        <w:rPr>
          <w:rFonts w:hint="eastAsia" w:ascii="微软雅黑" w:hAnsi="微软雅黑" w:eastAsia="微软雅黑"/>
          <w:sz w:val="18"/>
          <w:szCs w:val="18"/>
          <w:lang w:val="en-US" w:eastAsia="zh-CN"/>
        </w:rPr>
        <w:t>是AI模型生成的，其他都是</w:t>
      </w:r>
      <w:r>
        <w:rPr>
          <w:rFonts w:ascii="微软雅黑" w:hAnsi="微软雅黑" w:eastAsia="微软雅黑"/>
          <w:sz w:val="18"/>
          <w:szCs w:val="18"/>
        </w:rPr>
        <w:t>权重矩阵</w:t>
      </w:r>
      <w:r>
        <w:rPr>
          <w:rFonts w:hint="eastAsia" w:ascii="微软雅黑" w:hAnsi="微软雅黑" w:eastAsia="微软雅黑"/>
          <w:sz w:val="18"/>
          <w:szCs w:val="18"/>
          <w:lang w:val="en-US" w:eastAsia="zh-CN"/>
        </w:rPr>
        <w:t xml:space="preserve"> 经LBS 驱动后得到的；</w:t>
      </w:r>
    </w:p>
    <w:p w14:paraId="4B8C4BC7">
      <w:pPr>
        <w:pStyle w:val="3"/>
        <w:rPr>
          <w:rFonts w:hint="default" w:ascii="微软雅黑" w:hAnsi="微软雅黑" w:eastAsia="微软雅黑"/>
          <w:sz w:val="18"/>
          <w:szCs w:val="18"/>
          <w:lang w:val="en-US" w:eastAsia="zh-CN"/>
        </w:rPr>
      </w:pPr>
      <w:r>
        <w:rPr>
          <w:rFonts w:hint="eastAsia" w:ascii="微软雅黑" w:hAnsi="微软雅黑" w:eastAsia="微软雅黑"/>
          <w:sz w:val="18"/>
          <w:szCs w:val="18"/>
          <w:lang w:val="en-US" w:eastAsia="zh-CN"/>
        </w:rPr>
        <w:t>这些数据分别在下述那个处理过程用到</w:t>
      </w:r>
    </w:p>
  </w:comment>
  <w:comment w:id="3" w:author="DYZ" w:date="2026-06-03T09:08:10Z" w:initials="">
    <w:p w14:paraId="1A531043">
      <w:pPr>
        <w:pStyle w:val="3"/>
        <w:rPr>
          <w:rFonts w:hint="eastAsia"/>
          <w:lang w:val="en-US" w:eastAsia="zh-CN"/>
        </w:rPr>
      </w:pPr>
      <w:r>
        <w:rPr>
          <w:rFonts w:hint="eastAsia"/>
          <w:lang w:val="en-US" w:eastAsia="zh-CN"/>
        </w:rPr>
        <w:t>前三个指标：在候选对（面片对/部位对）级计算后归并到顶点；</w:t>
      </w:r>
    </w:p>
    <w:p w14:paraId="39B4FDB7">
      <w:pPr>
        <w:pStyle w:val="3"/>
        <w:rPr>
          <w:rFonts w:hint="default"/>
          <w:lang w:val="en-US" w:eastAsia="zh-CN"/>
        </w:rPr>
      </w:pPr>
      <w:r>
        <w:rPr>
          <w:rFonts w:hint="eastAsia"/>
          <w:lang w:val="en-US" w:eastAsia="zh-CN"/>
        </w:rPr>
        <w:t>后两个在顶点级计算</w:t>
      </w:r>
    </w:p>
  </w:comment>
  <w:comment w:id="4" w:author="DYZ" w:date="2026-06-03T10:33:43Z" w:initials="">
    <w:p w14:paraId="6219F5F7">
      <w:pPr>
        <w:pStyle w:val="3"/>
        <w:rPr>
          <w:rFonts w:hint="default" w:eastAsia="宋体"/>
          <w:lang w:val="en-US" w:eastAsia="zh-CN"/>
        </w:rPr>
      </w:pPr>
      <w:r>
        <w:rPr>
          <w:rFonts w:hint="eastAsia"/>
          <w:lang w:val="en-US" w:eastAsia="zh-CN"/>
        </w:rPr>
        <w:t>当前帧之前持续黏连的帧数（包括当前帧）</w:t>
      </w:r>
    </w:p>
  </w:comment>
  <w:comment w:id="5" w:author="DYZ" w:date="2026-06-03T10:30:43Z" w:initials="">
    <w:p w14:paraId="09BA8BD9">
      <w:pPr>
        <w:pStyle w:val="3"/>
        <w:rPr>
          <w:rFonts w:hint="default" w:eastAsia="宋体"/>
          <w:lang w:val="en-US" w:eastAsia="zh-CN"/>
        </w:rPr>
      </w:pPr>
      <w:r>
        <w:rPr>
          <w:rFonts w:hint="eastAsia" w:eastAsia="宋体"/>
          <w:lang w:eastAsia="zh-CN"/>
        </w:rPr>
        <w:drawing>
          <wp:inline distT="0" distB="0" distL="114300" distR="114300">
            <wp:extent cx="171450" cy="180975"/>
            <wp:effectExtent l="0" t="0" r="0" b="9525"/>
            <wp:docPr id="2" name="图片 2" descr="b70d8812-1e20-44bc-b685-ebe160d5d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70d8812-1e20-44bc-b685-ebe160d5de15"/>
                    <pic:cNvPicPr>
                      <a:picLocks noChangeAspect="1"/>
                    </pic:cNvPicPr>
                  </pic:nvPicPr>
                  <pic:blipFill>
                    <a:blip r:embed="rId1"/>
                    <a:stretch>
                      <a:fillRect/>
                    </a:stretch>
                  </pic:blipFill>
                  <pic:spPr>
                    <a:xfrm>
                      <a:off x="0" y="0"/>
                      <a:ext cx="171450" cy="180975"/>
                    </a:xfrm>
                    <a:prstGeom prst="rect">
                      <a:avLst/>
                    </a:prstGeom>
                  </pic:spPr>
                </pic:pic>
              </a:graphicData>
            </a:graphic>
          </wp:inline>
        </w:drawing>
      </w:r>
      <w:r>
        <w:rPr>
          <w:rFonts w:hint="eastAsia" w:eastAsia="宋体"/>
          <w:lang w:eastAsia="zh-CN"/>
        </w:rPr>
        <w:drawing>
          <wp:inline distT="0" distB="0" distL="114300" distR="114300">
            <wp:extent cx="180975" cy="238125"/>
            <wp:effectExtent l="0" t="0" r="9525" b="9525"/>
            <wp:docPr id="3" name="图片 3" descr="2c871191-1567-4936-aa11-db4dcb9d0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c871191-1567-4936-aa11-db4dcb9d07f3"/>
                    <pic:cNvPicPr>
                      <a:picLocks noChangeAspect="1"/>
                    </pic:cNvPicPr>
                  </pic:nvPicPr>
                  <pic:blipFill>
                    <a:blip r:embed="rId2"/>
                    <a:stretch>
                      <a:fillRect/>
                    </a:stretch>
                  </pic:blipFill>
                  <pic:spPr>
                    <a:xfrm>
                      <a:off x="0" y="0"/>
                      <a:ext cx="180975" cy="238125"/>
                    </a:xfrm>
                    <a:prstGeom prst="rect">
                      <a:avLst/>
                    </a:prstGeom>
                  </pic:spPr>
                </pic:pic>
              </a:graphicData>
            </a:graphic>
          </wp:inline>
        </w:drawing>
      </w:r>
      <w:r>
        <w:rPr>
          <w:rFonts w:hint="eastAsia"/>
          <w:lang w:val="en-US" w:eastAsia="zh-CN"/>
        </w:rPr>
        <w:t>是某一候选面片对中两个候选面片的速度？</w:t>
      </w:r>
    </w:p>
  </w:comment>
  <w:comment w:id="6" w:author="DYZ" w:date="2026-06-03T10:31:56Z" w:initials="">
    <w:p w14:paraId="3A766985">
      <w:pPr>
        <w:pStyle w:val="3"/>
        <w:rPr>
          <w:rFonts w:hint="default" w:eastAsia="宋体"/>
          <w:lang w:val="en-US" w:eastAsia="zh-CN"/>
        </w:rPr>
      </w:pPr>
      <w:r>
        <w:rPr>
          <w:rFonts w:hint="eastAsia"/>
          <w:lang w:val="en-US" w:eastAsia="zh-CN"/>
        </w:rPr>
        <w:t>全部候选面片对中候选面片的速度的平均值？</w:t>
      </w:r>
    </w:p>
  </w:comment>
  <w:comment w:id="7" w:author="DYZ" w:date="2026-06-03T10:16:56Z" w:initials="">
    <w:p w14:paraId="50CE9945">
      <w:pPr>
        <w:pStyle w:val="3"/>
        <w:rPr>
          <w:rFonts w:hint="default" w:eastAsia="宋体"/>
          <w:lang w:val="en-US" w:eastAsia="zh-CN"/>
        </w:rPr>
      </w:pPr>
      <w:r>
        <w:rPr>
          <w:rFonts w:hint="eastAsia"/>
          <w:lang w:val="en-US" w:eastAsia="zh-CN"/>
        </w:rPr>
        <w:t>怎么对应到候选面片</w:t>
      </w:r>
    </w:p>
  </w:comment>
  <w:comment w:id="8" w:author="DYZ" w:date="2026-06-03T10:16:50Z" w:initials="">
    <w:p w14:paraId="3DC6B5AC">
      <w:pPr>
        <w:pStyle w:val="3"/>
        <w:rPr>
          <w:rFonts w:hint="default" w:eastAsia="宋体"/>
          <w:lang w:val="en-US" w:eastAsia="zh-CN"/>
        </w:rPr>
      </w:pPr>
      <w:r>
        <w:rPr>
          <w:rFonts w:hint="eastAsia"/>
          <w:lang w:val="en-US" w:eastAsia="zh-CN"/>
        </w:rPr>
        <w:t>是指什么？</w:t>
      </w:r>
    </w:p>
  </w:comment>
  <w:comment w:id="9" w:author="DYZ" w:date="2026-06-03T10:28:08Z" w:initials="">
    <w:p w14:paraId="44FBEA8D">
      <w:pPr>
        <w:pStyle w:val="3"/>
        <w:rPr>
          <w:rFonts w:hint="default" w:eastAsia="宋体"/>
          <w:lang w:val="en-US" w:eastAsia="zh-CN"/>
        </w:rPr>
      </w:pPr>
      <w:r>
        <w:rPr>
          <w:rFonts w:hint="eastAsia"/>
          <w:lang w:val="en-US" w:eastAsia="zh-CN"/>
        </w:rPr>
        <w:t>预设的？值？</w:t>
      </w:r>
    </w:p>
  </w:comment>
  <w:comment w:id="10" w:author="DYZ" w:date="2026-06-03T10:28:47Z" w:initials="">
    <w:p w14:paraId="0F3F9DF6">
      <w:pPr>
        <w:pStyle w:val="3"/>
        <w:rPr>
          <w:rFonts w:hint="default" w:eastAsia="宋体"/>
          <w:lang w:val="en-US" w:eastAsia="zh-CN"/>
        </w:rPr>
      </w:pPr>
      <w:r>
        <w:rPr>
          <w:rFonts w:hint="eastAsia"/>
          <w:lang w:val="en-US" w:eastAsia="zh-CN"/>
        </w:rPr>
        <w:t>a指？</w:t>
      </w:r>
    </w:p>
  </w:comment>
  <w:comment w:id="11" w:author="DYZ" w:date="2026-06-03T10:28:28Z" w:initials="">
    <w:p w14:paraId="13745CD1">
      <w:pPr>
        <w:pStyle w:val="3"/>
        <w:rPr>
          <w:rFonts w:hint="default" w:eastAsia="宋体"/>
          <w:lang w:val="en-US" w:eastAsia="zh-CN"/>
        </w:rPr>
      </w:pPr>
      <w:r>
        <w:rPr>
          <w:rFonts w:hint="eastAsia"/>
          <w:lang w:val="en-US" w:eastAsia="zh-CN"/>
        </w:rPr>
        <w:t>这两个参数分别指什么</w:t>
      </w:r>
    </w:p>
  </w:comment>
  <w:comment w:id="12" w:author="DYZ" w:date="2026-06-03T10:37:06Z" w:initials="">
    <w:p w14:paraId="21F4D3BF">
      <w:pPr>
        <w:pStyle w:val="3"/>
        <w:rPr>
          <w:rFonts w:hint="default" w:eastAsia="宋体"/>
          <w:lang w:val="en-US" w:eastAsia="zh-CN"/>
        </w:rPr>
      </w:pPr>
      <w:r>
        <w:rPr>
          <w:rFonts w:hint="eastAsia"/>
          <w:lang w:val="en-US" w:eastAsia="zh-CN"/>
        </w:rPr>
        <w:t>具体计算公式和公式中参数的含义？</w:t>
      </w:r>
    </w:p>
  </w:comment>
  <w:comment w:id="13" w:author="DYZ" w:date="2026-06-03T10:17:55Z" w:initials="">
    <w:p w14:paraId="0ED19E34">
      <w:pPr>
        <w:pStyle w:val="3"/>
        <w:rPr>
          <w:rFonts w:hint="default" w:eastAsia="宋体"/>
          <w:lang w:val="en-US" w:eastAsia="zh-CN"/>
        </w:rPr>
      </w:pPr>
      <w:r>
        <w:rPr>
          <w:rFonts w:hint="eastAsia"/>
          <w:lang w:val="en-US" w:eastAsia="zh-CN"/>
        </w:rPr>
        <w:t>这个是t时刻对应的当前帧网格（当前蒙皮结果）的</w:t>
      </w:r>
      <w:r>
        <w:rPr>
          <w:rFonts w:ascii="微软雅黑" w:hAnsi="微软雅黑" w:eastAsia="微软雅黑"/>
          <w:b/>
          <w:bCs/>
          <w:sz w:val="18"/>
          <w:szCs w:val="18"/>
        </w:rPr>
        <w:t>能量异常指标</w:t>
      </w:r>
      <w:r>
        <w:rPr>
          <w:rFonts w:hint="eastAsia"/>
          <w:lang w:val="en-US" w:eastAsia="zh-CN"/>
        </w:rPr>
        <w:t>？</w:t>
      </w:r>
    </w:p>
  </w:comment>
  <w:comment w:id="14" w:author="DYZ" w:date="2026-06-03T10:38:48Z" w:initials="">
    <w:p w14:paraId="3D91212E">
      <w:pPr>
        <w:pStyle w:val="3"/>
        <w:rPr>
          <w:rFonts w:hint="default" w:eastAsia="宋体"/>
          <w:lang w:val="en-US" w:eastAsia="zh-CN"/>
        </w:rPr>
      </w:pPr>
      <w:r>
        <w:rPr>
          <w:rFonts w:hint="eastAsia"/>
          <w:lang w:val="en-US" w:eastAsia="zh-CN"/>
        </w:rPr>
        <w:t>每个参数的含义</w:t>
      </w:r>
    </w:p>
  </w:comment>
  <w:comment w:id="15" w:author="DYZ" w:date="2026-06-03T10:40:51Z" w:initials="">
    <w:p w14:paraId="0EC78557">
      <w:pPr>
        <w:pStyle w:val="3"/>
        <w:rPr>
          <w:rFonts w:hint="default" w:eastAsia="宋体"/>
          <w:lang w:val="en-US" w:eastAsia="zh-CN"/>
        </w:rPr>
      </w:pPr>
      <w:r>
        <w:rPr>
          <w:rFonts w:hint="eastAsia"/>
          <w:lang w:val="en-US" w:eastAsia="zh-CN"/>
        </w:rPr>
        <w:t>这个是什么含义？</w:t>
      </w:r>
    </w:p>
  </w:comment>
  <w:comment w:id="16" w:author="DYZ" w:date="2026-06-03T09:33:59Z" w:initials="">
    <w:p w14:paraId="3B475461">
      <w:pPr>
        <w:pStyle w:val="3"/>
        <w:rPr>
          <w:rFonts w:hint="eastAsia" w:ascii="微软雅黑" w:hAnsi="微软雅黑" w:eastAsia="微软雅黑"/>
          <w:sz w:val="18"/>
          <w:szCs w:val="18"/>
          <w:lang w:val="en-US" w:eastAsia="zh-CN"/>
        </w:rPr>
      </w:pPr>
      <w:r>
        <w:rPr>
          <w:rFonts w:hint="eastAsia" w:ascii="微软雅黑" w:hAnsi="微软雅黑" w:eastAsia="微软雅黑"/>
          <w:sz w:val="18"/>
          <w:szCs w:val="18"/>
        </w:rPr>
        <w:t>映射到一个统一、稳定、可解释的标准</w:t>
      </w:r>
      <w:r>
        <w:rPr>
          <w:rFonts w:hint="eastAsia" w:ascii="微软雅黑" w:hAnsi="微软雅黑" w:eastAsia="微软雅黑"/>
          <w:sz w:val="18"/>
          <w:szCs w:val="18"/>
          <w:lang w:val="en-US" w:eastAsia="zh-CN"/>
        </w:rPr>
        <w:t>范围</w:t>
      </w:r>
      <w:r>
        <w:rPr>
          <w:rFonts w:hint="eastAsia" w:ascii="微软雅黑" w:hAnsi="微软雅黑" w:eastAsia="微软雅黑"/>
          <w:sz w:val="18"/>
          <w:szCs w:val="18"/>
        </w:rPr>
        <w:t xml:space="preserve"> [0,1]，以便</w:t>
      </w:r>
      <w:r>
        <w:rPr>
          <w:rFonts w:hint="eastAsia" w:ascii="微软雅黑" w:hAnsi="微软雅黑" w:eastAsia="微软雅黑"/>
          <w:sz w:val="18"/>
          <w:szCs w:val="18"/>
          <w:lang w:val="en-US" w:eastAsia="zh-CN"/>
        </w:rPr>
        <w:t>后续进行筛选？</w:t>
      </w:r>
    </w:p>
    <w:p w14:paraId="4343E343">
      <w:pPr>
        <w:pStyle w:val="3"/>
        <w:rPr>
          <w:rFonts w:hint="default" w:ascii="微软雅黑" w:hAnsi="微软雅黑" w:eastAsia="微软雅黑"/>
          <w:sz w:val="18"/>
          <w:szCs w:val="18"/>
          <w:lang w:val="en-US" w:eastAsia="zh-CN"/>
        </w:rPr>
      </w:pPr>
      <w:r>
        <w:rPr>
          <w:rFonts w:hint="eastAsia"/>
          <w:lang w:val="en-US" w:eastAsia="zh-CN"/>
        </w:rPr>
        <w:t>这一步最后得到的</w:t>
      </w:r>
      <w:r>
        <w:rPr>
          <w:rFonts w:hint="eastAsia"/>
          <w:lang w:val="en-US" w:eastAsia="zh-CN"/>
        </w:rPr>
        <w:drawing>
          <wp:inline distT="0" distB="0" distL="114300" distR="114300">
            <wp:extent cx="95250" cy="219075"/>
            <wp:effectExtent l="0" t="0" r="0" b="9525"/>
            <wp:docPr id="4" name="图片 4" descr="wp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ps9"/>
                    <pic:cNvPicPr>
                      <a:picLocks noChangeAspect="1"/>
                    </pic:cNvPicPr>
                  </pic:nvPicPr>
                  <pic:blipFill>
                    <a:blip r:embed="rId3"/>
                    <a:stretch>
                      <a:fillRect/>
                    </a:stretch>
                  </pic:blipFill>
                  <pic:spPr>
                    <a:xfrm>
                      <a:off x="0" y="0"/>
                      <a:ext cx="95250" cy="219075"/>
                    </a:xfrm>
                    <a:prstGeom prst="rect">
                      <a:avLst/>
                    </a:prstGeom>
                  </pic:spPr>
                </pic:pic>
              </a:graphicData>
            </a:graphic>
          </wp:inline>
        </w:drawing>
      </w:r>
      <w:r>
        <w:rPr>
          <w:rFonts w:hint="eastAsia"/>
          <w:lang w:val="en-US" w:eastAsia="zh-CN"/>
        </w:rPr>
        <w:t>是每一帧中每一个部位各个指标归一化后的结果；</w:t>
      </w:r>
      <w:r>
        <w:rPr>
          <w:rFonts w:hint="eastAsia"/>
          <w:lang w:val="en-US" w:eastAsia="zh-CN"/>
        </w:rPr>
        <w:drawing>
          <wp:inline distT="0" distB="0" distL="114300" distR="114300">
            <wp:extent cx="142875" cy="219075"/>
            <wp:effectExtent l="0" t="0" r="9525" b="9525"/>
            <wp:docPr id="5" name="图片 5" descr="wp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10"/>
                    <pic:cNvPicPr>
                      <a:picLocks noChangeAspect="1"/>
                    </pic:cNvPicPr>
                  </pic:nvPicPr>
                  <pic:blipFill>
                    <a:blip r:embed="rId4"/>
                    <a:stretch>
                      <a:fillRect/>
                    </a:stretch>
                  </pic:blipFill>
                  <pic:spPr>
                    <a:xfrm>
                      <a:off x="0" y="0"/>
                      <a:ext cx="142875" cy="219075"/>
                    </a:xfrm>
                    <a:prstGeom prst="rect">
                      <a:avLst/>
                    </a:prstGeom>
                  </pic:spPr>
                </pic:pic>
              </a:graphicData>
            </a:graphic>
          </wp:inline>
        </w:drawing>
      </w:r>
      <w:r>
        <w:rPr>
          <w:rFonts w:hint="eastAsia"/>
          <w:lang w:val="en-US" w:eastAsia="zh-CN"/>
        </w:rPr>
        <w:t>是每一帧中每一个部位对应的各个顶点的每种指标的最大或均值？</w:t>
      </w:r>
    </w:p>
  </w:comment>
  <w:comment w:id="17" w:author="DYZ" w:date="2026-06-03T09:55:35Z" w:initials="">
    <w:p w14:paraId="33265FE9">
      <w:pPr>
        <w:pStyle w:val="3"/>
      </w:pPr>
      <w:r>
        <w:rPr>
          <w:rFonts w:hint="eastAsia"/>
          <w:lang w:val="en-US" w:eastAsia="zh-CN"/>
        </w:rPr>
        <w:t>同一候选部位在多帧上的</w:t>
      </w:r>
      <w:r>
        <w:rPr>
          <w:rFonts w:hint="eastAsia"/>
          <w:lang w:val="en-US" w:eastAsia="zh-CN"/>
        </w:rPr>
        <w:drawing>
          <wp:inline distT="0" distB="0" distL="114300" distR="114300">
            <wp:extent cx="142875" cy="219075"/>
            <wp:effectExtent l="0" t="0" r="9525" b="9525"/>
            <wp:docPr id="6" name="图片 6" descr="wp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ps10"/>
                    <pic:cNvPicPr>
                      <a:picLocks noChangeAspect="1"/>
                    </pic:cNvPicPr>
                  </pic:nvPicPr>
                  <pic:blipFill>
                    <a:blip r:embed="rId4"/>
                    <a:stretch>
                      <a:fillRect/>
                    </a:stretch>
                  </pic:blipFill>
                  <pic:spPr>
                    <a:xfrm>
                      <a:off x="0" y="0"/>
                      <a:ext cx="142875" cy="219075"/>
                    </a:xfrm>
                    <a:prstGeom prst="rect">
                      <a:avLst/>
                    </a:prstGeom>
                  </pic:spPr>
                </pic:pic>
              </a:graphicData>
            </a:graphic>
          </wp:inline>
        </w:drawing>
      </w:r>
      <w:r>
        <w:rPr>
          <w:rFonts w:hint="eastAsia"/>
          <w:lang w:val="en-US" w:eastAsia="zh-CN"/>
        </w:rPr>
        <w:t>汇成样本集合后取第 95% 分位（从大到小约处于前 5%）。</w:t>
      </w:r>
    </w:p>
  </w:comment>
  <w:comment w:id="18" w:author="DYZ" w:date="2026-06-03T10:47:08Z" w:initials="">
    <w:p w14:paraId="335C475C">
      <w:pPr>
        <w:pStyle w:val="3"/>
        <w:rPr>
          <w:rFonts w:hint="default" w:eastAsia="宋体"/>
          <w:lang w:val="en-US" w:eastAsia="zh-CN"/>
        </w:rPr>
      </w:pPr>
      <w:r>
        <w:rPr>
          <w:rFonts w:hint="eastAsia"/>
          <w:lang w:val="en-US" w:eastAsia="zh-CN"/>
        </w:rPr>
        <w:t>这个是最终的质量结果？</w:t>
      </w:r>
    </w:p>
  </w:comment>
  <w:comment w:id="19" w:author="DYZ" w:date="2026-06-03T10:47:29Z" w:initials="">
    <w:p w14:paraId="7B1BB5A9">
      <w:pPr>
        <w:pStyle w:val="3"/>
        <w:rPr>
          <w:rFonts w:hint="default" w:eastAsia="微软雅黑"/>
          <w:lang w:val="en-US" w:eastAsia="zh-CN"/>
        </w:rPr>
      </w:pPr>
      <w:r>
        <w:rPr>
          <w:rFonts w:hint="eastAsia"/>
          <w:lang w:val="en-US" w:eastAsia="zh-CN"/>
        </w:rPr>
        <w:t>还是这个是最终的质量结果？或者说，这个最终最终的结果可以进一步</w:t>
      </w:r>
      <w:r>
        <w:rPr>
          <w:rFonts w:ascii="微软雅黑" w:hAnsi="微软雅黑" w:eastAsia="微软雅黑"/>
          <w:sz w:val="18"/>
          <w:szCs w:val="18"/>
        </w:rPr>
        <w:t>抑制瞬时帧噪声</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效果比前者更好？</w:t>
      </w:r>
    </w:p>
    <w:p w14:paraId="586F1BA6">
      <w:pPr>
        <w:pStyle w:val="3"/>
        <w:rPr>
          <w:rFonts w:hint="default" w:eastAsia="宋体"/>
          <w:lang w:val="en-US" w:eastAsia="zh-CN"/>
        </w:rPr>
      </w:pPr>
    </w:p>
  </w:comment>
  <w:comment w:id="20" w:author="DYZ" w:date="2026-06-03T10:48:44Z" w:initials="">
    <w:p w14:paraId="7D306C2B">
      <w:pPr>
        <w:pStyle w:val="3"/>
        <w:rPr>
          <w:rFonts w:hint="default" w:eastAsia="宋体"/>
          <w:lang w:val="en-US" w:eastAsia="zh-CN"/>
        </w:rPr>
      </w:pPr>
      <w:r>
        <w:rPr>
          <w:rFonts w:hint="eastAsia"/>
          <w:lang w:val="en-US" w:eastAsia="zh-CN"/>
        </w:rPr>
        <w:t>以上关于生成最终的质量结果是本申请的最核心方案，也即本申请最主要的创新在于本申请质量评估的流程？</w:t>
      </w:r>
      <w:bookmarkStart w:id="1" w:name="_GoBack"/>
      <w:bookmarkEnd w:id="1"/>
    </w:p>
  </w:comment>
  <w:comment w:id="21" w:author="代理人" w:date="2026-06-03T12:00:00Z" w:initials="">
    <w:p w14:paraId="D7395283" w14:textId="D7395283">
      <w:pPr>
        <w:pStyle w:val="3"/>
      </w:pPr>
      <w:r>
        <w:rPr>
          <w:rFonts w:hint="eastAsia"/>
        </w:rPr>
        <w:t xml:space="preserve">【代理人回复】认同。质量评估由本申请的多指标计算+多指标聚合评估方法（评估引擎）完成，依据物理/几何规则，无需训练、并非AI模型。已在“关键点”前的说明段将该表述明确为“进行质量评估的并非AI模型，而是本发明的评估引擎”。</w:t>
      </w:r>
    </w:p>
  </w:comment>
  <w:comment w:id="22" w:author="代理人" w:date="2026-06-03T12:00:00Z" w:initials="">
    <w:p w14:paraId="7EABA83E" w14:textId="7EABA83E">
      <w:pPr>
        <w:pStyle w:val="3"/>
      </w:pPr>
      <w:r>
        <w:rPr>
          <w:rFonts w:hint="eastAsia"/>
        </w:rPr>
        <w:t xml:space="preserve">【代理人回复】是。“训练联动”联动的是一个独立的、用于生成顶点蒙皮权重的自动蒙皮AI模型：以评估为A级、B级的蒙皮数据中的蒙皮权重作为其训练标签，以绑定姿态网格与骨架作为其输入。此处“骨骼”指骨骼层级结构（父子树）及各骨骼在绑定姿态下的位姿（关节位置+旋转，或等价的rest变换/绑定逆矩阵），而非某一动画帧的骨骼变换序列B(1:T)。关于最初的权重来源：冷启动时既可由该AI模型的初始版本生成，也可来自传统自动绑定工具或已有资产，再统一经本引擎打分筛选回流为训练数据，形成自举闭环。相关表述已补入§1说明段。</w:t>
      </w:r>
    </w:p>
  </w:comment>
  <w:comment w:id="23" w:author="代理人" w:date="2026-06-03T12:00:00Z" w:initials="">
    <w:p w14:paraId="B025B99E" w14:textId="B025B99E">
      <w:pPr>
        <w:pStyle w:val="3"/>
      </w:pPr>
      <w:r>
        <w:rPr>
          <w:rFonts w:hint="eastAsia"/>
        </w:rPr>
        <w:t xml:space="preserve">【代理人回复】是。权重矩阵W由自动蒙皮AI模型生成；顶点序列V(1:T)与骨骼变换序列B(1:T)是用W经LBS驱动后得到的数据。各数据用途已在§3.2.1补充：V(1:T)是几乎所有指标的核心输入（穿插/粘连/能量/边界）；网格拓扑M用于面片邻接、候选对与连通域聚类（§3.2.5）；部位分组P用于分部位自适应阈值与边界顶点提取（§3.2.3）；W用于反推责任骨骼（§3.2.5）；B(1:T)与骨骼层级H用于按骨骼/部位组织候选对与责任骨骼归并。</w:t>
      </w:r>
    </w:p>
  </w:comment>
  <w:comment w:id="24" w:author="代理人" w:date="2026-06-03T12:00:00Z" w:initials="">
    <w:p w14:paraId="2EB45B28" w14:textId="2EB45B28">
      <w:pPr>
        <w:pStyle w:val="3"/>
      </w:pPr>
      <w:r>
        <w:rPr>
          <w:rFonts w:hint="eastAsia"/>
        </w:rPr>
        <w:t xml:space="preserve">【代理人回复】正确。前三个指标（穿插、粘连、共线/翻折）在候选对（面片对/部位对）级计算后归并到顶点；后两个（能量、边界连续性）在顶点级计算。该粒度约定已在§3.2.2开头明确。</w:t>
      </w:r>
    </w:p>
  </w:comment>
  <w:comment w:id="25" w:author="代理人" w:date="2026-06-03T12:00:00Z" w:initials="">
    <w:p w14:paraId="AA409E1B" w14:textId="AA409E1B">
      <w:pPr>
        <w:pStyle w:val="3"/>
      </w:pPr>
      <w:r>
        <w:rPr>
          <w:rFonts w:hint="eastAsia"/>
        </w:rPr>
        <w:t xml:space="preserve">【代理人回复】正确。持续帧计数项指该候选面片对截至当前帧已连续粘连的帧数（包含当前帧在内），经归一化后参与计分；持续越久粘连越显著。已在§3.2.2指标2对该项补充释义。</w:t>
      </w:r>
    </w:p>
  </w:comment>
  <w:comment w:id="26" w:author="代理人" w:date="2026-06-03T12:00:00Z" w:initials="">
    <w:p w14:paraId="E207EC72" w14:textId="E207EC72">
      <w:pPr>
        <w:pStyle w:val="3"/>
      </w:pPr>
      <w:r>
        <w:rPr>
          <w:rFonts w:hint="eastAsia"/>
        </w:rPr>
        <w:t xml:space="preserve">【代理人回复】是。v_A、v_B分别为该候选面片对中两个面片（接触点）在当前帧的运动速度（帧间位移），相对速度即二者之差的模长。已在§3.2.2指标2补充说明。</w:t>
      </w:r>
    </w:p>
  </w:comment>
  <w:comment w:id="27" w:author="代理人" w:date="2026-06-03T12:00:00Z" w:initials="">
    <w:p w14:paraId="39C31830" w14:textId="39C31830">
      <w:pPr>
        <w:pStyle w:val="3"/>
      </w:pPr>
      <w:r>
        <w:rPr>
          <w:rFonts w:hint="eastAsia"/>
        </w:rPr>
        <w:t xml:space="preserve">【代理人回复】是。v_ref为全局平均运动速度，取该帧全部候选面片速度模长的均值，作为归一化的参考尺度。已在§3.2.2指标2补充说明。</w:t>
      </w:r>
    </w:p>
  </w:comment>
  <w:comment w:id="28" w:author="代理人" w:date="2026-06-03T12:00:00Z" w:initials="">
    <w:p w14:paraId="A204D560" w14:textId="A204D560">
      <w:pPr>
        <w:pStyle w:val="3"/>
      </w:pPr>
      <w:r>
        <w:rPr>
          <w:rFonts w:hint="eastAsia"/>
        </w:rPr>
        <w:t xml:space="preserve">【代理人回复】顶点群组指网格拓扑上一组相邻顶点构成的局部簇。其与候选面片的对应关系为：先按§3.2.2的候选对生成方式确定候选面片对，再取每个候选面片及其拓扑邻域的顶点构成该面片对应的顶点群组，从而把“面片对”映射为“两个顶点群组”参与SAT投影。已在§3.2.2指标3补充。</w:t>
      </w:r>
    </w:p>
  </w:comment>
  <w:comment w:id="29" w:author="代理人" w:date="2026-06-03T12:00:00Z" w:initials="">
    <w:p w14:paraId="2FA786D1" w14:textId="2FA786D1">
      <w:pPr>
        <w:pStyle w:val="3"/>
      </w:pPr>
      <w:r>
        <w:rPr>
          <w:rFonts w:hint="eastAsia"/>
        </w:rPr>
        <w:t xml:space="preserve">【代理人回复】候选轴指SAT判定中用于投影的一组待检验分离轴方向，通常取两顶点群组各自三角面片的法向量及边方向两两叉乘所得的方向集合；SAT在这些候选轴上分别投影，寻找能将两群组分开的轴。已在§3.2.2指标3补充。</w:t>
      </w:r>
    </w:p>
  </w:comment>
  <w:comment w:id="30" w:author="代理人" w:date="2026-06-03T12:00:00Z" w:initials="">
    <w:p w14:paraId="54CA445B" w14:textId="54CA445B">
      <w:pPr>
        <w:pStyle w:val="3"/>
      </w:pPr>
      <w:r>
        <w:rPr>
          <w:rFonts w:hint="eastAsia"/>
        </w:rPr>
        <w:t xml:space="preserve">【代理人回复】θr为预设阈值，典型取0.6~0.8，可按部位配置；当重叠比r&gt;θr时判定为共线异常。已在§3.2.2指标3补充取值。</w:t>
      </w:r>
    </w:p>
  </w:comment>
  <w:comment w:id="31" w:author="代理人" w:date="2026-06-03T12:00:00Z" w:initials="">
    <w:p w14:paraId="6A142659" w14:textId="6A142659">
      <w:pPr>
        <w:pStyle w:val="3"/>
      </w:pPr>
      <w:r>
        <w:rPr>
          <w:rFonts w:hint="eastAsia"/>
        </w:rPr>
        <w:t xml:space="preserve">【代理人回复】a即候选轴（待检验的分离轴方向）。r(a)表示在候选轴a上的投影重叠比。已在§3.2.2指标3明确a的含义。</w:t>
      </w:r>
    </w:p>
  </w:comment>
  <w:comment w:id="32" w:author="代理人" w:date="2026-06-03T12:00:00Z" w:initials="">
    <w:p w14:paraId="ABA0E0ED" w14:textId="ABA0E0ED">
      <w:pPr>
        <w:pStyle w:val="3"/>
      </w:pPr>
      <w:r>
        <w:rPr>
          <w:rFonts w:hint="eastAsia"/>
        </w:rPr>
        <w:t xml:space="preserve">【代理人回复】I_A、I_B分别为顶点群组A、B全部顶点在候选轴a上投影所得标量的最小–最大区间（各群组在该轴上的投影占据范围）；overlap为两区间重叠长度，|I_A|、|I_B|为各区间长度。已在§3.2.2指标3补充。</w:t>
      </w:r>
    </w:p>
  </w:comment>
  <w:comment w:id="33" w:author="代理人" w:date="2026-06-03T12:00:00Z" w:initials="">
    <w:p w14:paraId="430F72B0" w14:textId="430F72B0">
      <w:pPr>
        <w:pStyle w:val="3"/>
      </w:pPr>
      <w:r>
        <w:rPr>
          <w:rFonts w:hint="eastAsia"/>
        </w:rPr>
        <w:t xml:space="preserve">【代理人回复】已补充完整公式与参数含义：m_col=λ1·r̂+λ2·(1−δ̂)+λ3·Δθ̂+λ4·Δκ̂，∈[0,1]。其中r̂为重叠比、δ̂为分离裕量、Δθ为局部边链相邻边夹角变化量（扭折）、Δκ为相邻顶点离散曲率差分（翻折），均归一化到[0,1]；λ1~λ4为非负归一化权重（典型0.4/0.3/0.15/0.15）。完整推导见并发专利03，本申请以插件方式引用。详见§3.2.2指标3。</w:t>
      </w:r>
    </w:p>
  </w:comment>
  <w:comment w:id="34" w:author="代理人" w:date="2026-06-03T12:00:00Z" w:initials="">
    <w:p w14:paraId="709128B3" w14:textId="709128B3">
      <w:pPr>
        <w:pStyle w:val="3"/>
      </w:pPr>
      <w:r>
        <w:rPr>
          <w:rFonts w:hint="eastAsia"/>
        </w:rPr>
        <w:t xml:space="preserve">【代理人回复】是。能量异常指标是逐帧、针对第t帧当前网格（当前蒙皮结果）相对前一帧的局部形变能突变程度计算的量。已在§3.2.2指标4开头明确。</w:t>
      </w:r>
    </w:p>
  </w:comment>
  <w:comment w:id="35" w:author="代理人" w:date="2026-06-03T12:00:00Z" w:initials="">
    <w:p w14:paraId="A3378517" w14:textId="A3378517">
      <w:pPr>
        <w:pStyle w:val="3"/>
      </w:pPr>
      <w:r>
        <w:rPr>
          <w:rFonts w:hint="eastAsia"/>
        </w:rPr>
        <w:t xml:space="preserve">【代理人回复】已在§3.2.2指标4逐一补充：v为当前顶点，N(v)为其一阶邻域顶点集合，|N(v)|为邻居个数；v_t、u_t为v与邻居u在第t帧坐标，v_{t-1}、u_{t-1}为前一帧坐标；‖v_t−u_t‖为边(v,u)在第t帧长度；整式即对v的所有邻接边求“相邻帧边长变化绝对值”的平均。</w:t>
      </w:r>
    </w:p>
  </w:comment>
  <w:comment w:id="36" w:author="代理人" w:date="2026-06-03T12:00:00Z" w:initials="">
    <w:p w14:paraId="15E2BBA9" w14:textId="15E2BBA9">
      <w:pPr>
        <w:pStyle w:val="3"/>
      </w:pPr>
      <w:r>
        <w:rPr>
          <w:rFonts w:hint="eastAsia"/>
        </w:rPr>
        <w:t xml:space="preserve">【代理人回复】该式含义为：在部位边界顶点上衡量帧间运动方向是否连续（平滑）。各参数：∂V为部位边界顶点集合、|∂V|为其个数；v̇_t=v_t−v_{t-1}为第t帧帧间速度向量；cos∠(v̇_t,v̇_{t-1})为相邻两帧速度方向夹角余弦。整式=1减去边界顶点该余弦的均值：运动平滑时余弦≈1、指标≈0；方向突变时余弦趋零或负、指标升高。已在§3.2.2指标5补充。</w:t>
      </w:r>
    </w:p>
  </w:comment>
  <w:comment w:id="37" w:author="代理人" w:date="2026-06-03T12:00:00Z" w:initials="">
    <w:p w14:paraId="F807F05A" w14:textId="F807F05A">
      <w:pPr>
        <w:pStyle w:val="3"/>
      </w:pPr>
      <w:r>
        <w:rPr>
          <w:rFonts w:hint="eastAsia"/>
        </w:rPr>
        <w:t xml:space="preserve">【代理人回复】是。归一化目的正是把各指标原始量纲映射到统一、稳定、可解释的[0,1]范围，便于跨指标聚合与统一筛选。本步最终得到每一帧、每个部位、每个指标的一个归一化分数z_i；该部位级分数由该帧该部位对应各顶点的指标值聚合而来——默认取顶点值的最大值（突出局部最严重处），也可按指标配置为均值。已在§3.2.3补充。</w:t>
      </w:r>
    </w:p>
  </w:comment>
  <w:comment w:id="38" w:author="代理人" w:date="2026-06-03T12:00:00Z" w:initials="">
    <w:p w14:paraId="3D66E398" w14:textId="3D66E398">
      <w:pPr>
        <w:pStyle w:val="3"/>
      </w:pPr>
      <w:r>
        <w:rPr>
          <w:rFonts w:hint="eastAsia"/>
        </w:rPr>
        <w:t xml:space="preserve">【代理人回复】正确。即把同一候选部位在多帧上的该指标值汇成样本集合后取第95%分位（约处于从大到小前5%）作为该部位该指标的高阈值。该口径已在§3.2.3说明。</w:t>
      </w:r>
    </w:p>
  </w:comment>
  <w:comment w:id="39" w:author="代理人" w:date="2026-06-03T12:00:00Z" w:initials="">
    <w:p w14:paraId="3D37BC4C" w14:textId="3D37BC4C">
      <w:pPr>
        <w:pStyle w:val="3"/>
      </w:pPr>
      <w:r>
        <w:rPr>
          <w:rFonts w:hint="eastAsia"/>
        </w:rPr>
        <w:t xml:space="preserve">【代理人回复】Q_t是第t帧的瞬时质量总分，已可作为该帧的质量结果；但用于最终分级判定的是其时序平滑结果Q̃_t（见下条）。已在§3.2.4补充Q_t与Q̃_t的关系说明。</w:t>
      </w:r>
    </w:p>
  </w:comment>
  <w:comment w:id="40" w:author="代理人" w:date="2026-06-03T12:00:00Z" w:initials="">
    <w:p w14:paraId="D342CADC" w14:textId="D342CADC">
      <w:pPr>
        <w:pStyle w:val="3"/>
      </w:pPr>
      <w:r>
        <w:rPr>
          <w:rFonts w:hint="eastAsia"/>
        </w:rPr>
        <w:t xml:space="preserve">【代理人回复】是，Q̃_t为最终用于分级的质量结果。它对Q_t做指数平滑，进一步抑制单帧噪声/抖动带来的虚假波动，稳健性优于未平滑的Q_t；A/B/C分级即基于Q̃_t。已在§3.2.4明确。</w:t>
      </w:r>
    </w:p>
  </w:comment>
  <w:comment w:id="41" w:author="代理人" w:date="2026-06-03T12:00:00Z" w:initials="">
    <w:p w14:paraId="953AF276" w14:textId="953AF276">
      <w:pPr>
        <w:pStyle w:val="3"/>
      </w:pPr>
      <w:r>
        <w:rPr>
          <w:rFonts w:hint="eastAsia"/>
        </w:rPr>
        <w:t xml:space="preserve">【代理人回复】是。本申请最核心、最主要的创新即在于无GT前提下“多指标计算→归一化→自适应阈值→多指标聚合与门控→时序平滑→A/B/C分级→异常定位→数据闭环联动”这一整套质量评估与闭环流程，而非任一单项指标公式。这一点亦体现在§1关键点与权利要求布局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5C5920A" w15:done="0"/>
  <w15:commentEx w15:paraId="28939E74" w15:done="0"/>
  <w15:commentEx w15:paraId="4B8C4BC7" w15:done="0"/>
  <w15:commentEx w15:paraId="39B4FDB7" w15:done="0"/>
  <w15:commentEx w15:paraId="6219F5F7" w15:done="0"/>
  <w15:commentEx w15:paraId="09BA8BD9" w15:done="0"/>
  <w15:commentEx w15:paraId="3A766985" w15:done="0"/>
  <w15:commentEx w15:paraId="50CE9945" w15:done="0"/>
  <w15:commentEx w15:paraId="3DC6B5AC" w15:done="0"/>
  <w15:commentEx w15:paraId="44FBEA8D" w15:done="0"/>
  <w15:commentEx w15:paraId="0F3F9DF6" w15:done="0"/>
  <w15:commentEx w15:paraId="13745CD1" w15:done="0"/>
  <w15:commentEx w15:paraId="21F4D3BF" w15:done="0"/>
  <w15:commentEx w15:paraId="0ED19E34" w15:done="0"/>
  <w15:commentEx w15:paraId="3D91212E" w15:done="0"/>
  <w15:commentEx w15:paraId="0EC78557" w15:done="0"/>
  <w15:commentEx w15:paraId="4343E343" w15:done="0"/>
  <w15:commentEx w15:paraId="33265FE9" w15:done="0"/>
  <w15:commentEx w15:paraId="335C475C" w15:done="0"/>
  <w15:commentEx w15:paraId="586F1BA6" w15:done="0"/>
  <w15:commentEx w15:paraId="7D306C2B" w15:done="0"/>
  <w15:commentEx w15:paraId="D7395283" w15:paraIdParent="15C5920A" w15:done="0"/>
  <w15:commentEx w15:paraId="7EABA83E" w15:paraIdParent="28939E74" w15:done="0"/>
  <w15:commentEx w15:paraId="B025B99E" w15:paraIdParent="4B8C4BC7" w15:done="0"/>
  <w15:commentEx w15:paraId="2EB45B28" w15:paraIdParent="39B4FDB7" w15:done="0"/>
  <w15:commentEx w15:paraId="AA409E1B" w15:paraIdParent="6219F5F7" w15:done="0"/>
  <w15:commentEx w15:paraId="E207EC72" w15:paraIdParent="09BA8BD9" w15:done="0"/>
  <w15:commentEx w15:paraId="39C31830" w15:paraIdParent="3A766985" w15:done="0"/>
  <w15:commentEx w15:paraId="A204D560" w15:paraIdParent="50CE9945" w15:done="0"/>
  <w15:commentEx w15:paraId="2FA786D1" w15:paraIdParent="3DC6B5AC" w15:done="0"/>
  <w15:commentEx w15:paraId="54CA445B" w15:paraIdParent="44FBEA8D" w15:done="0"/>
  <w15:commentEx w15:paraId="6A142659" w15:paraIdParent="0F3F9DF6" w15:done="0"/>
  <w15:commentEx w15:paraId="ABA0E0ED" w15:paraIdParent="13745CD1" w15:done="0"/>
  <w15:commentEx w15:paraId="430F72B0" w15:paraIdParent="21F4D3BF" w15:done="0"/>
  <w15:commentEx w15:paraId="709128B3" w15:paraIdParent="0ED19E34" w15:done="0"/>
  <w15:commentEx w15:paraId="A3378517" w15:paraIdParent="3D91212E" w15:done="0"/>
  <w15:commentEx w15:paraId="15E2BBA9" w15:paraIdParent="0EC78557" w15:done="0"/>
  <w15:commentEx w15:paraId="F807F05A" w15:paraIdParent="4343E343" w15:done="0"/>
  <w15:commentEx w15:paraId="3D66E398" w15:paraIdParent="33265FE9" w15:done="0"/>
  <w15:commentEx w15:paraId="3D37BC4C" w15:paraIdParent="335C475C" w15:done="0"/>
  <w15:commentEx w15:paraId="D342CADC" w15:paraIdParent="586F1BA6" w15:done="0"/>
  <w15:commentEx w15:paraId="953AF276" w15:paraIdParent="7D306C2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pple Color Emoji">
    <w:altName w:val="Calibri"/>
    <w:panose1 w:val="00000000000000000000"/>
    <w:charset w:val="00"/>
    <w:family w:val="auto"/>
    <w:pitch w:val="default"/>
    <w:sig w:usb0="00000000" w:usb1="00000000" w:usb2="14000000" w:usb3="00000000" w:csb0="00000001"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1B753">
    <w:pPr>
      <w:pStyle w:val="5"/>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Pr>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Pr>
        <w:kern w:val="0"/>
      </w:rPr>
      <w:t>3</w:t>
    </w:r>
    <w:r>
      <w:rPr>
        <w:kern w:val="0"/>
      </w:rPr>
      <w:fldChar w:fldCharType="end"/>
    </w:r>
    <w:r>
      <w:rPr>
        <w:kern w:val="0"/>
      </w:rPr>
      <w:t xml:space="preserve"> </w:t>
    </w:r>
    <w:r>
      <w:rPr>
        <w:rFonts w:hint="eastAsia"/>
        <w:kern w:val="0"/>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8EAF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E93D6">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205F8">
    <w:pPr>
      <w:pStyle w:val="6"/>
      <w:jc w:val="left"/>
      <w:rPr>
        <w:b/>
        <w:sz w:val="24"/>
      </w:rPr>
    </w:pPr>
    <w:r>
      <w:rPr>
        <w:rFonts w:eastAsia="Times New Roman"/>
        <w:sz w:val="24"/>
      </w:rPr>
      <w:drawing>
        <wp:inline distT="0" distB="0" distL="0" distR="0">
          <wp:extent cx="337185" cy="33718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a:xfrm>
                    <a:off x="0" y="0"/>
                    <a:ext cx="337185" cy="337185"/>
                  </a:xfrm>
                  <a:prstGeom prst="rect">
                    <a:avLst/>
                  </a:prstGeom>
                  <a:noFill/>
                  <a:ln>
                    <a:noFill/>
                  </a:ln>
                </pic:spPr>
              </pic:pic>
            </a:graphicData>
          </a:graphic>
        </wp:inline>
      </w:drawing>
    </w:r>
    <w:r>
      <w:rPr>
        <w:sz w:val="24"/>
      </w:rPr>
      <w:t xml:space="preserve"> </w:t>
    </w:r>
    <w:r>
      <w:rPr>
        <w:rFonts w:hint="eastAsia"/>
        <w:b/>
        <w:sz w:val="21"/>
        <w:szCs w:val="21"/>
      </w:rPr>
      <w:t>专利保护创新，积累无形资产</w:t>
    </w:r>
    <w:r>
      <w:rPr>
        <w:sz w:val="24"/>
      </w:rPr>
      <w:t xml:space="preserve">                    </w:t>
    </w:r>
    <w:r>
      <w:rPr>
        <w:rFonts w:hint="eastAsia"/>
        <w:b/>
        <w:sz w:val="24"/>
        <w:szCs w:val="24"/>
      </w:rPr>
      <w:t>腾讯商业秘密请勿泄露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BB64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9555C">
    <w:pPr>
      <w:pStyle w:val="6"/>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YZ">
    <w15:presenceInfo w15:providerId="WPS Office" w15:userId="4165282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D5A06"/>
    <w:rsid w:val="003E1544"/>
    <w:rsid w:val="003F57CF"/>
    <w:rsid w:val="00417191"/>
    <w:rsid w:val="00422435"/>
    <w:rsid w:val="00426F2A"/>
    <w:rsid w:val="00434FF8"/>
    <w:rsid w:val="0045069C"/>
    <w:rsid w:val="004670B1"/>
    <w:rsid w:val="004A0617"/>
    <w:rsid w:val="004A0AD4"/>
    <w:rsid w:val="004B5C4A"/>
    <w:rsid w:val="004C0236"/>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3D93"/>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EC7D1B"/>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1F75202B"/>
    <w:rsid w:val="21392D60"/>
    <w:rsid w:val="21496A35"/>
    <w:rsid w:val="2DB63F79"/>
    <w:rsid w:val="33663901"/>
    <w:rsid w:val="35A969AB"/>
    <w:rsid w:val="36E758FC"/>
    <w:rsid w:val="37193088"/>
    <w:rsid w:val="3A0B5469"/>
    <w:rsid w:val="3CD52F4F"/>
    <w:rsid w:val="3EC02DCA"/>
    <w:rsid w:val="3EC63F72"/>
    <w:rsid w:val="3F117610"/>
    <w:rsid w:val="434E470C"/>
    <w:rsid w:val="491E0888"/>
    <w:rsid w:val="4D583564"/>
    <w:rsid w:val="55E1223D"/>
    <w:rsid w:val="569A33AA"/>
    <w:rsid w:val="56AD0D7E"/>
    <w:rsid w:val="58F8593A"/>
    <w:rsid w:val="5E2A09CF"/>
    <w:rsid w:val="5F816B97"/>
    <w:rsid w:val="5FBD1211"/>
    <w:rsid w:val="633A44B6"/>
    <w:rsid w:val="64BC7663"/>
    <w:rsid w:val="6B5807D7"/>
    <w:rsid w:val="720F6D6B"/>
    <w:rsid w:val="76AA3EA2"/>
    <w:rsid w:val="78F87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qFormat/>
    <w:uiPriority w:val="0"/>
    <w:pPr>
      <w:jc w:val="left"/>
    </w:pPr>
  </w:style>
  <w:style w:type="paragraph" w:styleId="4">
    <w:name w:val="Balloon Text"/>
    <w:basedOn w:val="1"/>
    <w:qFormat/>
    <w:uiPriority w:val="0"/>
    <w:rPr>
      <w:sz w:val="18"/>
    </w:rPr>
  </w:style>
  <w:style w:type="paragraph" w:styleId="5">
    <w:name w:val="footer"/>
    <w:basedOn w:val="1"/>
    <w:link w:val="18"/>
    <w:qFormat/>
    <w:uiPriority w:val="0"/>
    <w:pPr>
      <w:tabs>
        <w:tab w:val="center" w:pos="4153"/>
        <w:tab w:val="right" w:pos="8306"/>
      </w:tabs>
      <w:snapToGrid w:val="0"/>
      <w:jc w:val="left"/>
    </w:pPr>
    <w:rPr>
      <w:sz w:val="18"/>
    </w:rPr>
  </w:style>
  <w:style w:type="paragraph" w:styleId="6">
    <w:name w:val="header"/>
    <w:basedOn w:val="1"/>
    <w:link w:val="1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3"/>
    <w:next w:val="3"/>
    <w:link w:val="16"/>
    <w:unhideWhenUsed/>
    <w:qFormat/>
    <w:uiPriority w:val="99"/>
    <w:rPr>
      <w:b/>
      <w:bCs/>
    </w:rPr>
  </w:style>
  <w:style w:type="table" w:styleId="9">
    <w:name w:val="Table Grid"/>
    <w:basedOn w:val="8"/>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page number"/>
    <w:qFormat/>
    <w:uiPriority w:val="0"/>
    <w:rPr>
      <w:rFonts w:hint="default" w:ascii="Times New Roman"/>
    </w:rPr>
  </w:style>
  <w:style w:type="character" w:styleId="13">
    <w:name w:val="FollowedHyperlink"/>
    <w:semiHidden/>
    <w:unhideWhenUsed/>
    <w:qFormat/>
    <w:uiPriority w:val="99"/>
    <w:rPr>
      <w:color w:val="954F72"/>
      <w:u w:val="single"/>
    </w:rPr>
  </w:style>
  <w:style w:type="character" w:styleId="14">
    <w:name w:val="Hyperlink"/>
    <w:unhideWhenUsed/>
    <w:qFormat/>
    <w:uiPriority w:val="99"/>
    <w:rPr>
      <w:color w:val="0000FF"/>
      <w:u w:val="single"/>
    </w:rPr>
  </w:style>
  <w:style w:type="character" w:styleId="15">
    <w:name w:val="annotation reference"/>
    <w:unhideWhenUsed/>
    <w:qFormat/>
    <w:uiPriority w:val="99"/>
    <w:rPr>
      <w:sz w:val="21"/>
      <w:szCs w:val="21"/>
    </w:rPr>
  </w:style>
  <w:style w:type="character" w:customStyle="1" w:styleId="16">
    <w:name w:val="批注主题 字符"/>
    <w:link w:val="7"/>
    <w:semiHidden/>
    <w:qFormat/>
    <w:uiPriority w:val="99"/>
    <w:rPr>
      <w:b/>
      <w:bCs/>
      <w:kern w:val="2"/>
      <w:sz w:val="21"/>
    </w:rPr>
  </w:style>
  <w:style w:type="character" w:customStyle="1" w:styleId="17">
    <w:name w:val="页眉 字符"/>
    <w:link w:val="6"/>
    <w:qFormat/>
    <w:uiPriority w:val="0"/>
    <w:rPr>
      <w:rFonts w:hint="default" w:ascii="Times New Roman"/>
      <w:kern w:val="2"/>
      <w:sz w:val="18"/>
    </w:rPr>
  </w:style>
  <w:style w:type="character" w:customStyle="1" w:styleId="18">
    <w:name w:val="页脚 字符"/>
    <w:link w:val="5"/>
    <w:qFormat/>
    <w:uiPriority w:val="0"/>
    <w:rPr>
      <w:rFonts w:hint="default" w:ascii="Times New Roman"/>
      <w:kern w:val="2"/>
      <w:sz w:val="18"/>
    </w:rPr>
  </w:style>
  <w:style w:type="character" w:customStyle="1" w:styleId="19">
    <w:name w:val="批注文字 字符"/>
    <w:link w:val="3"/>
    <w:qFormat/>
    <w:uiPriority w:val="0"/>
    <w:rPr>
      <w:kern w:val="2"/>
      <w:sz w:val="21"/>
    </w:rPr>
  </w:style>
  <w:style w:type="paragraph" w:styleId="20">
    <w:name w:val="List Paragraph"/>
    <w:basedOn w:val="1"/>
    <w:qFormat/>
    <w:uiPriority w:val="34"/>
    <w:pPr>
      <w:ind w:firstLine="420" w:firstLineChars="200"/>
    </w:pPr>
  </w:style>
  <w:style w:type="paragraph" w:customStyle="1" w:styleId="21">
    <w:name w:val="Revision"/>
    <w:hidden/>
    <w:unhideWhenUsed/>
    <w:qFormat/>
    <w:uiPriority w:val="99"/>
    <w:rPr>
      <w:rFonts w:ascii="Times New Roman" w:hAnsi="Times New Roman" w:eastAsia="宋体" w:cs="Times New Roman"/>
      <w:kern w:val="2"/>
      <w:sz w:val="21"/>
      <w:lang w:val="en-US" w:eastAsia="zh-CN" w:bidi="ar-SA"/>
    </w:rPr>
  </w:style>
  <w:style w:type="character" w:customStyle="1" w:styleId="22">
    <w:name w:val="Unresolved Mention"/>
    <w:semiHidden/>
    <w:unhideWhenUsed/>
    <w:qFormat/>
    <w:uiPriority w:val="99"/>
    <w:rPr>
      <w:color w:val="605E5C"/>
      <w:shd w:val="clear" w:color="auto" w:fill="E1DFDD"/>
    </w:rPr>
  </w:style>
</w:styles>
</file>

<file path=word/_rels/comments.xml.rels><?xml version="1.0" encoding="UTF-8" standalone="yes"?>
<Relationships xmlns="http://schemas.openxmlformats.org/package/2006/relationships"><Relationship Id="rId4" Type="http://schemas.openxmlformats.org/officeDocument/2006/relationships/image" Target="media/image4.jpeg"/><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5011</Words>
  <Characters>5462</Characters>
  <Lines>83</Lines>
  <Paragraphs>23</Paragraphs>
  <TotalTime>7</TotalTime>
  <ScaleCrop>false</ScaleCrop>
  <LinksUpToDate>false</LinksUpToDate>
  <CharactersWithSpaces>5615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2025-08-19T01:15:00Z</dcterms:created>
  <dc:creator>DORISGAO-PC</dc:creator>
  <cp:lastModifiedBy>DYZ</cp:lastModifiedBy>
  <dcterms:modified xsi:type="dcterms:W3CDTF">2026-06-03T02:49:56Z</dcterms:modified>
  <dc:title>交底书名称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eyJoZGlkIjoiYTFiMTlhYmMzZGM5OTVjNDdkOTYyY2ZlNmU3ODVjYTEiLCJ1c2VySWQiOiI0NTc2OTk5ODIifQ==</vt:lpwstr>
  </property>
  <property fmtid="{D5CDD505-2E9C-101B-9397-08002B2CF9AE}" pid="4" name="ICV">
    <vt:lpwstr>440143C0E05D449F9FB796A26729B799_12</vt:lpwstr>
  </property>
</Properties>
</file>