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99"/>
    <w:bookmarkStart w:id="21" w:name="key-equations"/>
    <w:p>
      <w:pPr>
        <w:pStyle w:val="Heading3"/>
      </w:pPr>
      <w:r>
        <w:t xml:space="preserve">Key Equations</w:t>
      </w:r>
    </w:p>
    <w:bookmarkStart w:id="20" w:name="fs-id1167131448950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Relationship between frequency and period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Position in SHM with</m:t>
              </m:r>
              <m:r>
                <m:t> </m:t>
              </m:r>
              <m:r>
                <m:t>ϕ</m:t>
              </m:r>
              <m:r>
                <m:rPr>
                  <m:sty m:val="p"/>
                </m:rPr>
                <m:t>=</m:t>
              </m:r>
              <m:r>
                <m:t>0.00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General position in SHM</w:t>
            </w:r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General velocity in SHM</w:t>
            </w:r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r>
                <m:t>A</m:t>
              </m:r>
              <m:r>
                <m:t>ω</m:t>
              </m:r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General acceleration in SHM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r>
                <m:t>A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Maximum displacement (amplitude) of SHM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Maximum velocity of SHM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max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ω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Maximum acceleration of SHM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max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frequency of a mass-spring system in SHM</w:t>
            </w:r>
          </w:p>
        </w:tc>
        <w:tc>
          <w:p>
            <w:pPr>
              <w:pStyle w:val="Compact"/>
              <w:jc w:val="left"/>
            </w:pPr>
            <m:oMath>
              <m:r>
                <m:t>ω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Period of a mass-spring system in SHM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π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Frequency of a mass-spring system in SHM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>
                    <m:t>π</m:t>
                  </m:r>
                </m:den>
              </m:f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Energy in a mass-spring system in SHM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rPr>
                      <m:nor/>
                      <m:sty m:val="p"/>
                    </m:rPr>
                    <m:t>Total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k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m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k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 velocity of the mass in a spring-mass</w:t>
            </w:r>
            <w:r>
              <w:br/>
            </w:r>
            <w:r>
              <w:t xml:space="preserve">system in SHM</w:t>
            </w:r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m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iCs/>
                <w:i/>
              </w:rPr>
              <w:t xml:space="preserve">x</w:t>
            </w:r>
            <w:r>
              <w:t xml:space="preserve">-component of the radius of a rotating disk</w:t>
            </w:r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iCs/>
                <w:i/>
              </w:rPr>
              <w:t xml:space="preserve">x</w:t>
            </w:r>
            <w:r>
              <w:t xml:space="preserve">-component of the velocity of the edge of a rotating disk</w:t>
            </w:r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iCs/>
                <w:i/>
              </w:rPr>
              <w:t xml:space="preserve">x</w:t>
            </w:r>
            <w:r>
              <w:t xml:space="preserve">-component of the acceleration of the</w:t>
            </w:r>
            <w:r>
              <w:br/>
            </w:r>
            <w:r>
              <w:t xml:space="preserve">edge of a rotating disk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Force equation for a simple pendulum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g</m:t>
                  </m:r>
                </m:num>
                <m:den>
                  <m:r>
                    <m:t>L</m:t>
                  </m:r>
                </m:den>
              </m:f>
              <m:r>
                <m:t>θ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frequency for a simple pendulum</w:t>
            </w:r>
          </w:p>
        </w:tc>
        <w:tc>
          <w:p>
            <w:pPr>
              <w:pStyle w:val="Compact"/>
              <w:jc w:val="left"/>
            </w:pPr>
            <m:oMath>
              <m:r>
                <m:t>ω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g</m:t>
                      </m:r>
                    </m:num>
                    <m:den>
                      <m:r>
                        <m:t>L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Period of a simple pendulum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π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L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frequency of a physical pendulum</w:t>
            </w:r>
          </w:p>
        </w:tc>
        <w:tc>
          <w:p>
            <w:pPr>
              <w:pStyle w:val="Compact"/>
              <w:jc w:val="left"/>
            </w:pPr>
            <m:oMath>
              <m:r>
                <m:t>ω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m</m:t>
                      </m:r>
                      <m:r>
                        <m:t>g</m:t>
                      </m:r>
                      <m:r>
                        <m:t>L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Period of a physical pendulum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π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  <m:r>
                        <m:t>g</m:t>
                      </m:r>
                      <m:r>
                        <m:t>L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Period of a torsional pendulum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π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κ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Newton’s second law for harmonic motion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x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b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x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k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Solution for underdamped harmonic motion</w:t>
            </w:r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  <m:r>
                    <m:t>t</m:t>
                  </m:r>
                </m:sup>
              </m:sSup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Natural angular frequency of a</w:t>
            </w:r>
            <w:r>
              <w:br/>
            </w:r>
            <w:r>
              <w:t xml:space="preserve">mass-spring system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frequency of underdamped</w:t>
            </w:r>
            <w:r>
              <w:br/>
            </w:r>
            <w:r>
              <w:t xml:space="preserve">harmonic motion</w:t>
            </w:r>
          </w:p>
        </w:tc>
        <w:tc>
          <w:p>
            <w:pPr>
              <w:pStyle w:val="Compact"/>
              <w:jc w:val="left"/>
            </w:pPr>
            <m:oMath>
              <m:r>
                <m:t>ω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b</m:t>
                              </m:r>
                            </m:num>
                            <m:den>
                              <m:r>
                                <m:t>2</m:t>
                              </m:r>
                              <m: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Newton’s second law for forced,</w:t>
            </w:r>
            <w:r>
              <w:br/>
            </w:r>
            <w:r>
              <w:t xml:space="preserve">damped oscillation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−</m:t>
              </m:r>
              <m:r>
                <m:t>k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b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x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o</m:t>
                  </m:r>
                </m:sub>
              </m:sSub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m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x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Solution to Newton’s second law for forced,</w:t>
            </w:r>
            <w:r>
              <w:br/>
            </w:r>
            <w:r>
              <w:t xml:space="preserve">damped oscillations</w:t>
            </w:r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Amplitude of system undergoing forced,</w:t>
            </w:r>
            <w:r>
              <w:br/>
            </w:r>
            <w:r>
              <w:t xml:space="preserve">damped oscillations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o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m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p>
                                <m:e>
                                  <m:r>
                                    <m:t>ω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Sup>
                                <m:e>
                                  <m:r>
                                    <m:t>ω</m:t>
                                  </m:r>
                                </m:e>
                                <m:sub>
                                  <m:r>
                                    <m:t>o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ω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2022-08-16T17:20:03Z</dcterms:created>
  <dcterms:modified xsi:type="dcterms:W3CDTF">2022-08-16T17:20:03Z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