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29"/>
    <w:bookmarkStart w:id="20" w:name="key-terms"/>
    <w:p>
      <w:pPr>
        <w:pStyle w:val="Heading3"/>
      </w:pPr>
      <w:r>
        <w:t xml:space="preserve">Key Terms</w:t>
      </w:r>
    </w:p>
    <w:p>
      <w:pPr>
        <w:pStyle w:val="DefinitionTerm"/>
      </w:pPr>
      <w:r>
        <w:t xml:space="preserve">dynamics</w:t>
      </w:r>
    </w:p>
    <w:p>
      <w:pPr>
        <w:pStyle w:val="Definition"/>
      </w:pPr>
      <w:r>
        <w:t xml:space="preserve">study of how forces affect the motion of objects and systems</w:t>
      </w:r>
    </w:p>
    <w:p>
      <w:pPr>
        <w:pStyle w:val="DefinitionTerm"/>
      </w:pPr>
      <w:r>
        <w:t xml:space="preserve">external force</w:t>
      </w:r>
    </w:p>
    <w:p>
      <w:pPr>
        <w:pStyle w:val="Definition"/>
      </w:pPr>
      <w:r>
        <w:t xml:space="preserve">force acting on an object or system that originates outside of the object or system</w:t>
      </w:r>
    </w:p>
    <w:p>
      <w:pPr>
        <w:pStyle w:val="DefinitionTerm"/>
      </w:pPr>
      <w:r>
        <w:t xml:space="preserve">force</w:t>
      </w:r>
    </w:p>
    <w:p>
      <w:pPr>
        <w:pStyle w:val="Definition"/>
      </w:pPr>
      <w:r>
        <w:t xml:space="preserve">push or pull on an object with a specific magnitude and direction; can be represented by vectors or expressed as a multiple of a standard force</w:t>
      </w:r>
    </w:p>
    <w:p>
      <w:pPr>
        <w:pStyle w:val="DefinitionTerm"/>
      </w:pPr>
      <w:r>
        <w:t xml:space="preserve">free fall</w:t>
      </w:r>
    </w:p>
    <w:p>
      <w:pPr>
        <w:pStyle w:val="Definition"/>
      </w:pPr>
      <w:r>
        <w:t xml:space="preserve">situation in which the only force acting on an object is gravity</w:t>
      </w:r>
    </w:p>
    <w:p>
      <w:pPr>
        <w:pStyle w:val="DefinitionTerm"/>
      </w:pPr>
      <w:r>
        <w:t xml:space="preserve">free-body diagram</w:t>
      </w:r>
    </w:p>
    <w:p>
      <w:pPr>
        <w:pStyle w:val="Definition"/>
      </w:pPr>
      <w:r>
        <w:t xml:space="preserve">sketch showing all external forces acting on an object or system; the system is represented by a single isolated point, and the forces are represented by vectors extending outward from that point</w:t>
      </w:r>
    </w:p>
    <w:p>
      <w:pPr>
        <w:pStyle w:val="DefinitionTerm"/>
      </w:pPr>
      <w:r>
        <w:t xml:space="preserve">Hooke’s law</w:t>
      </w:r>
    </w:p>
    <w:p>
      <w:pPr>
        <w:pStyle w:val="Definition"/>
      </w:pPr>
      <w:r>
        <w:t xml:space="preserve">in a spring, a restoring force proportional to and in the opposite direction of the imposed displacement</w:t>
      </w:r>
    </w:p>
    <w:p>
      <w:pPr>
        <w:pStyle w:val="DefinitionTerm"/>
      </w:pPr>
      <w:r>
        <w:t xml:space="preserve">inertia</w:t>
      </w:r>
    </w:p>
    <w:p>
      <w:pPr>
        <w:pStyle w:val="Definition"/>
      </w:pPr>
      <w:r>
        <w:t xml:space="preserve">ability of an object to resist changes in its motion</w:t>
      </w:r>
    </w:p>
    <w:p>
      <w:pPr>
        <w:pStyle w:val="DefinitionTerm"/>
      </w:pPr>
      <w:r>
        <w:t xml:space="preserve">inertial reference frame</w:t>
      </w:r>
    </w:p>
    <w:p>
      <w:pPr>
        <w:pStyle w:val="Definition"/>
      </w:pPr>
      <w:r>
        <w:t xml:space="preserve">reference frame moving at constant velocity relative to an inertial frame is also inertial; a reference frame accelerating relative to an inertial frame is not inertial</w:t>
      </w:r>
    </w:p>
    <w:p>
      <w:pPr>
        <w:pStyle w:val="DefinitionTerm"/>
      </w:pPr>
      <w:r>
        <w:t xml:space="preserve">law of inertia</w:t>
      </w:r>
    </w:p>
    <w:p>
      <w:pPr>
        <w:pStyle w:val="Definition"/>
      </w:pPr>
      <w:r>
        <w:t xml:space="preserve">see Newton’s first law of motion</w:t>
      </w:r>
    </w:p>
    <w:p>
      <w:pPr>
        <w:pStyle w:val="DefinitionTerm"/>
      </w:pPr>
      <w:r>
        <w:t xml:space="preserve">net external force</w:t>
      </w:r>
    </w:p>
    <w:p>
      <w:pPr>
        <w:pStyle w:val="Definition"/>
      </w:pPr>
      <w:r>
        <w:t xml:space="preserve">vector sum of all external forces acting on an object or system; causes a mass to accelerate</w:t>
      </w:r>
    </w:p>
    <w:p>
      <w:pPr>
        <w:pStyle w:val="DefinitionTerm"/>
      </w:pPr>
      <w:r>
        <w:t xml:space="preserve">newton</w:t>
      </w:r>
    </w:p>
    <w:p>
      <w:pPr>
        <w:pStyle w:val="Definition"/>
      </w:pPr>
      <w:r>
        <w:t xml:space="preserve">SI unit of force; 1 N is the force needed to accelerate an object with a mass of 1 kg at a rate of</w:t>
      </w:r>
      <w:r>
        <w:t xml:space="preserve"> </w:t>
      </w:r>
      <m:oMath>
        <m:r>
          <m:t>1</m:t>
        </m:r>
        <m:r>
          <m:t> </m:t>
        </m:r>
        <m:sSup>
          <m:e>
            <m:r>
              <m:rPr>
                <m:nor/>
                <m:sty m:val="p"/>
              </m:rPr>
              <m:t>m/s</m:t>
            </m:r>
          </m:e>
          <m:sup>
            <m:r>
              <m:t>2</m:t>
            </m:r>
          </m:sup>
        </m:sSup>
      </m:oMath>
    </w:p>
    <w:p>
      <w:pPr>
        <w:pStyle w:val="DefinitionTerm"/>
      </w:pPr>
      <w:r>
        <w:t xml:space="preserve">Newton’s first law of motion</w:t>
      </w:r>
    </w:p>
    <w:p>
      <w:pPr>
        <w:pStyle w:val="Definition"/>
      </w:pPr>
      <w:r>
        <w:t xml:space="preserve">body at rest remains at rest or, if in motion, remains in motion at constant velocity unless acted on by a net external force; also known as the law of inertia</w:t>
      </w:r>
    </w:p>
    <w:p>
      <w:pPr>
        <w:pStyle w:val="DefinitionTerm"/>
      </w:pPr>
      <w:r>
        <w:t xml:space="preserve">Newton’s second law of motion</w:t>
      </w:r>
    </w:p>
    <w:p>
      <w:pPr>
        <w:pStyle w:val="Definition"/>
      </w:pPr>
      <w:r>
        <w:t xml:space="preserve">acceleration of a system is directly proportional to and in the same direction as the net external force acting on the system and is inversely proportional to its mass</w:t>
      </w:r>
    </w:p>
    <w:p>
      <w:pPr>
        <w:pStyle w:val="DefinitionTerm"/>
      </w:pPr>
      <w:r>
        <w:t xml:space="preserve">Newton’s third law of motion</w:t>
      </w:r>
    </w:p>
    <w:p>
      <w:pPr>
        <w:pStyle w:val="Definition"/>
      </w:pPr>
      <w:r>
        <w:t xml:space="preserve">whenever one body exerts a force on a second body, the first body experiences a force that is equal in magnitude and opposite in direction to the force that it exerts</w:t>
      </w:r>
    </w:p>
    <w:p>
      <w:pPr>
        <w:pStyle w:val="DefinitionTerm"/>
      </w:pPr>
      <w:r>
        <w:t xml:space="preserve">normal force</w:t>
      </w:r>
    </w:p>
    <w:p>
      <w:pPr>
        <w:pStyle w:val="Definition"/>
      </w:pPr>
      <w:r>
        <w:t xml:space="preserve">force supporting the weight of an object, or a load, that is perpendicular to the surface of contact between the load and its support; the surface applies this force to an object to support the weight of the object</w:t>
      </w:r>
    </w:p>
    <w:p>
      <w:pPr>
        <w:pStyle w:val="DefinitionTerm"/>
      </w:pPr>
      <w:r>
        <w:t xml:space="preserve">tension</w:t>
      </w:r>
    </w:p>
    <w:p>
      <w:pPr>
        <w:pStyle w:val="Definition"/>
      </w:pPr>
      <w:r>
        <w:t xml:space="preserve">pulling force that acts along a stretched flexible connector, such as a rope or cable</w:t>
      </w:r>
    </w:p>
    <w:p>
      <w:pPr>
        <w:pStyle w:val="DefinitionTerm"/>
      </w:pPr>
      <w:r>
        <w:t xml:space="preserve">thrust</w:t>
      </w:r>
    </w:p>
    <w:p>
      <w:pPr>
        <w:pStyle w:val="Definition"/>
      </w:pPr>
      <w:r>
        <w:t xml:space="preserve">reaction force that pushes a body forward in response to a backward force</w:t>
      </w:r>
    </w:p>
    <w:p>
      <w:pPr>
        <w:pStyle w:val="DefinitionTerm"/>
      </w:pPr>
      <w:r>
        <w:t xml:space="preserve">weight</w:t>
      </w:r>
    </w:p>
    <w:p>
      <w:pPr>
        <w:pStyle w:val="Definition"/>
      </w:pPr>
      <w:r>
        <w:t xml:space="preserve">force</w:t>
      </w:r>
      <w:r>
        <w:t xml:space="preserve"> </w:t>
      </w:r>
      <m:oMath>
        <m:limUpp>
          <m:e>
            <m:r>
              <m:rPr>
                <m:sty m:val="b"/>
              </m:rPr>
              <m:t>w</m:t>
            </m:r>
          </m:e>
          <m:lim>
            <m:r>
              <m:rPr>
                <m:sty m:val="b"/>
              </m:rPr>
              <m:t>→</m:t>
            </m:r>
          </m:lim>
        </m:limUpp>
      </m:oMath>
      <w:r>
        <w:t xml:space="preserve"> </w:t>
      </w:r>
      <w:r>
        <w:t xml:space="preserve">due to gravity acting on an object of mass</w:t>
      </w:r>
      <w:r>
        <w:t xml:space="preserve"> </w:t>
      </w:r>
      <w:r>
        <w:rPr>
          <w:iCs/>
          <w:i/>
        </w:rPr>
        <w:t xml:space="preserve">m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2022-08-16T17:22:56Z</dcterms:created>
  <dcterms:modified xsi:type="dcterms:W3CDTF">2022-08-16T17:22:56Z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