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eastAsia="Arial"/>
          <w:b/>
          <w:color w:val="1F2E4D"/>
          <w:sz w:val="56"/>
        </w:rPr>
        <w:t>BizFlow Rewards Network</w:t>
      </w:r>
    </w:p>
    <w:p>
      <w:pPr>
        <w:jc w:val="center"/>
      </w:pPr>
      <w:r>
        <w:rPr>
          <w:rFonts w:ascii="Arial" w:hAnsi="Arial" w:eastAsia="Arial"/>
          <w:b/>
          <w:color w:val="475569"/>
          <w:sz w:val="30"/>
        </w:rPr>
        <w:t>Add-On Service Introduction</w:t>
      </w:r>
    </w:p>
    <w:p>
      <w:pPr>
        <w:jc w:val="center"/>
      </w:pPr>
      <w:r>
        <w:rPr>
          <w:rFonts w:ascii="Arial" w:hAnsi="Arial" w:eastAsia="Arial"/>
          <w:color w:val="475569"/>
          <w:sz w:val="22"/>
        </w:rPr>
        <w:t>A Free QR-Based Loyalty, Reward Credit, Voucher Wallet, and Monthly GCash Settlement System for Partner Stores</w:t>
      </w:r>
    </w:p>
    <w:tbl>
      <w:tblPr>
        <w:tblW w:type="auto" w:w="0"/>
        <w:jc w:val="center"/>
        <w:tblLook w:firstColumn="1" w:firstRow="1" w:lastColumn="0" w:lastRow="0" w:noHBand="0" w:noVBand="1" w:val="04A0"/>
      </w:tblPr>
      <w:tblGrid>
        <w:gridCol w:w="10080"/>
      </w:tblGrid>
      <w:tr>
        <w:tc>
          <w:tcPr>
            <w:tcW w:type="dxa" w:w="10080"/>
            <w:shd w:fill="F1F5F9"/>
            <w:tcBorders>
              <w:top w:sz="8" w:val="single" w:color="CBD5E1"/>
              <w:left w:sz="8" w:val="single" w:color="CBD5E1"/>
              <w:bottom w:sz="8" w:val="single" w:color="CBD5E1"/>
              <w:right w:sz="8" w:val="single" w:color="CBD5E1"/>
            </w:tcBorders>
          </w:tcPr>
          <w:p>
            <w:pPr>
              <w:spacing w:after="60"/>
            </w:pPr>
            <w:r>
              <w:rPr>
                <w:rFonts w:ascii="Arial" w:hAnsi="Arial" w:eastAsia="Arial"/>
                <w:b/>
                <w:color w:val="1F2E4D"/>
                <w:sz w:val="20"/>
              </w:rPr>
              <w:t>Document Scope</w:t>
            </w:r>
          </w:p>
          <w:p>
            <w:pPr>
              <w:spacing w:after="0"/>
            </w:pPr>
            <w:r>
              <w:rPr>
                <w:rFonts w:ascii="Arial" w:hAnsi="Arial" w:eastAsia="Arial"/>
                <w:sz w:val="19"/>
              </w:rPr>
              <w:t>This document covers only the additional rewards and loyalty service module. It is designed as an add-on to the existing BizFlow voucher ecosystem, but can also be introduced as a standalone merchant loyalty network.</w:t>
            </w:r>
          </w:p>
        </w:tc>
      </w:tr>
    </w:tbl>
    <w:tbl>
      <w:tblPr>
        <w:tblStyle w:val="TableGrid"/>
        <w:tblW w:type="auto" w:w="0"/>
        <w:jc w:val="center"/>
        <w:tblLook w:firstColumn="1" w:firstRow="1" w:lastColumn="0" w:lastRow="0" w:noHBand="0" w:noVBand="1" w:val="04A0"/>
      </w:tblPr>
      <w:tblGrid>
        <w:gridCol w:w="5040"/>
        <w:gridCol w:w="5040"/>
      </w:tblGrid>
      <w:tr>
        <w:tc>
          <w:tcPr>
            <w:tcW w:type="dxa" w:w="244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Item</w:t>
            </w:r>
          </w:p>
        </w:tc>
        <w:tc>
          <w:tcPr>
            <w:tcW w:type="dxa" w:w="806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Description</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Service Type</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Add-on loyalty and voucher wallet service</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Target Users</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Restaurants, cafes, retail brands, skincare clinics, beauty salons, pet clinics, and local SMEs</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Merchant System Fee</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Free system usage for participating stores</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Reward Rate</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 of customer payment amount</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Tool</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Personal QR code and reward wallet</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Settlement Method</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Monthly settlement to participating stores via GCash</w:t>
            </w:r>
          </w:p>
        </w:tc>
      </w:tr>
    </w:tbl>
    <w:p>
      <w:pPr>
        <w:spacing w:after="20"/>
      </w:pPr>
    </w:p>
    <w:p>
      <w:r>
        <w:br w:type="page"/>
      </w:r>
    </w:p>
    <w:p>
      <w:pPr>
        <w:pStyle w:val="Heading1"/>
      </w:pPr>
      <w:r>
        <w:t>1. Service Overview</w:t>
      </w:r>
    </w:p>
    <w:p>
      <w:pPr>
        <w:pStyle w:val="BodyText"/>
      </w:pPr>
      <w:r>
        <w:rPr>
          <w:rFonts w:ascii="Arial" w:hAnsi="Arial" w:eastAsia="Arial"/>
          <w:sz w:val="20"/>
        </w:rPr>
        <w:t>BizFlow Rewards Network is a shared loyalty and voucher wallet system for restaurants, cafes, retail brands, beauty clinics, service businesses, and local merchants.</w:t>
      </w:r>
    </w:p>
    <w:p>
      <w:pPr>
        <w:pStyle w:val="BodyText"/>
      </w:pPr>
      <w:r>
        <w:rPr>
          <w:rFonts w:ascii="Arial" w:hAnsi="Arial" w:eastAsia="Arial"/>
          <w:sz w:val="20"/>
        </w:rPr>
        <w:t>The service allows participating stores to offer a customer reward program without paying a system usage fee. Customers earn reward credits from purchases, convert those credits into vouchers, and use the vouchers like cash at any participating store within the network.</w:t>
      </w:r>
    </w:p>
    <w:tbl>
      <w:tblPr>
        <w:tblW w:type="auto" w:w="0"/>
        <w:jc w:val="center"/>
        <w:tblLook w:firstColumn="1" w:firstRow="1" w:lastColumn="0" w:lastRow="0" w:noHBand="0" w:noVBand="1" w:val="04A0"/>
      </w:tblPr>
      <w:tblGrid>
        <w:gridCol w:w="10080"/>
      </w:tblGrid>
      <w:tr>
        <w:tc>
          <w:tcPr>
            <w:tcW w:type="dxa" w:w="10080"/>
            <w:shd w:fill="EAF2FF"/>
            <w:tcBorders>
              <w:top w:sz="8" w:val="single" w:color="8AB4F8"/>
              <w:left w:sz="8" w:val="single" w:color="8AB4F8"/>
              <w:bottom w:sz="8" w:val="single" w:color="8AB4F8"/>
              <w:right w:sz="8" w:val="single" w:color="8AB4F8"/>
            </w:tcBorders>
          </w:tcPr>
          <w:p>
            <w:pPr>
              <w:spacing w:after="60"/>
            </w:pPr>
            <w:r>
              <w:rPr>
                <w:rFonts w:ascii="Arial" w:hAnsi="Arial" w:eastAsia="Arial"/>
                <w:b/>
                <w:color w:val="1F2E4D"/>
                <w:sz w:val="20"/>
              </w:rPr>
              <w:t>Core Positioning</w:t>
            </w:r>
          </w:p>
          <w:p>
            <w:pPr>
              <w:spacing w:after="0"/>
            </w:pPr>
            <w:r>
              <w:rPr>
                <w:rFonts w:ascii="Arial" w:hAnsi="Arial" w:eastAsia="Arial"/>
                <w:sz w:val="19"/>
              </w:rPr>
              <w:t>A free merchant loyalty system that helps customers earn 5% reward credits from purchases and use converted vouchers across all participating BizFlow partner stores.</w:t>
            </w:r>
          </w:p>
        </w:tc>
      </w:tr>
    </w:tbl>
    <w:p>
      <w:pPr>
        <w:pStyle w:val="Heading1"/>
      </w:pPr>
      <w:r>
        <w:t>2. Core Concept</w:t>
      </w:r>
    </w:p>
    <w:p>
      <w:pPr>
        <w:pStyle w:val="BodyText"/>
      </w:pPr>
      <w:r>
        <w:rPr>
          <w:rFonts w:ascii="Arial" w:hAnsi="Arial" w:eastAsia="Arial"/>
          <w:sz w:val="20"/>
        </w:rPr>
        <w:t>Each customer receives a personal account with a unique QR code. When the customer makes a purchase at a participating store, the store staff scans the customer QR code and enters the actual payment amount.</w:t>
      </w:r>
    </w:p>
    <w:p>
      <w:pPr>
        <w:pStyle w:val="BodyText"/>
      </w:pPr>
      <w:r>
        <w:rPr>
          <w:rFonts w:ascii="Arial" w:hAnsi="Arial" w:eastAsia="Arial"/>
          <w:sz w:val="20"/>
        </w:rPr>
        <w:t>The system automatically adds 5% of the payment amount as reward credit to the customer account. Customers can later convert accumulated reward credits into vouchers and use those vouchers across the BizFlow partner network.</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Purchase Amount</w:t>
            </w:r>
          </w:p>
        </w:tc>
        <w:tc>
          <w:tcPr>
            <w:tcW w:type="dxa" w:w="2880"/>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Reward Rate</w:t>
            </w:r>
          </w:p>
        </w:tc>
        <w:tc>
          <w:tcPr>
            <w:tcW w:type="dxa" w:w="388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Reward Credit Added</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1,000</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w:t>
            </w:r>
          </w:p>
        </w:tc>
        <w:tc>
          <w:tcPr>
            <w:tcW w:type="dxa" w:w="38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50</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2,500</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w:t>
            </w:r>
          </w:p>
        </w:tc>
        <w:tc>
          <w:tcPr>
            <w:tcW w:type="dxa" w:w="38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125</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5,000</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w:t>
            </w:r>
          </w:p>
        </w:tc>
        <w:tc>
          <w:tcPr>
            <w:tcW w:type="dxa" w:w="38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250</w:t>
            </w:r>
          </w:p>
        </w:tc>
      </w:tr>
    </w:tbl>
    <w:p>
      <w:pPr>
        <w:spacing w:after="20"/>
      </w:pPr>
    </w:p>
    <w:p>
      <w:pPr>
        <w:pStyle w:val="Heading1"/>
      </w:pPr>
      <w:r>
        <w:t>3. How the Service Works</w:t>
      </w:r>
    </w:p>
    <w:p>
      <w:pPr>
        <w:pStyle w:val="ListNumber"/>
      </w:pPr>
      <w:r>
        <w:rPr>
          <w:rFonts w:ascii="Arial" w:hAnsi="Arial" w:eastAsia="Arial"/>
          <w:sz w:val="19"/>
        </w:rPr>
        <w:t>Customer registers and receives a personal QR code linked to a reward wallet.</w:t>
      </w:r>
    </w:p>
    <w:p>
      <w:pPr>
        <w:pStyle w:val="ListNumber"/>
      </w:pPr>
      <w:r>
        <w:rPr>
          <w:rFonts w:ascii="Arial" w:hAnsi="Arial" w:eastAsia="Arial"/>
          <w:sz w:val="19"/>
        </w:rPr>
        <w:t>Customer makes a normal purchase at a participating store.</w:t>
      </w:r>
    </w:p>
    <w:p>
      <w:pPr>
        <w:pStyle w:val="ListNumber"/>
      </w:pPr>
      <w:r>
        <w:rPr>
          <w:rFonts w:ascii="Arial" w:hAnsi="Arial" w:eastAsia="Arial"/>
          <w:sz w:val="19"/>
        </w:rPr>
        <w:t>Store staff scans the customer QR code after payment.</w:t>
      </w:r>
    </w:p>
    <w:p>
      <w:pPr>
        <w:pStyle w:val="ListNumber"/>
      </w:pPr>
      <w:r>
        <w:rPr>
          <w:rFonts w:ascii="Arial" w:hAnsi="Arial" w:eastAsia="Arial"/>
          <w:sz w:val="19"/>
        </w:rPr>
        <w:t>Store staff enters the actual payment amount into the BizFlow staff page.</w:t>
      </w:r>
    </w:p>
    <w:p>
      <w:pPr>
        <w:pStyle w:val="ListNumber"/>
      </w:pPr>
      <w:r>
        <w:rPr>
          <w:rFonts w:ascii="Arial" w:hAnsi="Arial" w:eastAsia="Arial"/>
          <w:sz w:val="19"/>
        </w:rPr>
        <w:t>The system automatically calculates 5% reward credit and adds it to the customer wallet.</w:t>
      </w:r>
    </w:p>
    <w:p>
      <w:pPr>
        <w:pStyle w:val="ListNumber"/>
      </w:pPr>
      <w:r>
        <w:rPr>
          <w:rFonts w:ascii="Arial" w:hAnsi="Arial" w:eastAsia="Arial"/>
          <w:sz w:val="19"/>
        </w:rPr>
        <w:t>Customer converts accumulated reward credits into a voucher at any time.</w:t>
      </w:r>
    </w:p>
    <w:p>
      <w:pPr>
        <w:pStyle w:val="ListNumber"/>
      </w:pPr>
      <w:r>
        <w:rPr>
          <w:rFonts w:ascii="Arial" w:hAnsi="Arial" w:eastAsia="Arial"/>
          <w:sz w:val="19"/>
        </w:rPr>
        <w:t>Customer uses the voucher like cash at any participating store.</w:t>
      </w:r>
    </w:p>
    <w:p>
      <w:pPr>
        <w:pStyle w:val="ListNumber"/>
      </w:pPr>
      <w:r>
        <w:rPr>
          <w:rFonts w:ascii="Arial" w:hAnsi="Arial" w:eastAsia="Arial"/>
          <w:sz w:val="19"/>
        </w:rPr>
        <w:t>At month-end, BizFlow calculates voucher payments accepted by each store and sends settlement via GCash.</w:t>
      </w:r>
    </w:p>
    <w:p>
      <w:pPr>
        <w:pStyle w:val="Heading1"/>
      </w:pPr>
      <w:r>
        <w:t>4. Main Value for Store Owners</w:t>
      </w:r>
    </w:p>
    <w:tbl>
      <w:tblPr>
        <w:tblStyle w:val="TableGrid"/>
        <w:tblW w:type="auto" w:w="0"/>
        <w:jc w:val="center"/>
        <w:tblLook w:firstColumn="1" w:firstRow="1" w:lastColumn="0" w:lastRow="0" w:noHBand="0" w:noVBand="1" w:val="04A0"/>
      </w:tblPr>
      <w:tblGrid>
        <w:gridCol w:w="5040"/>
        <w:gridCol w:w="5040"/>
      </w:tblGrid>
      <w:tr>
        <w:tc>
          <w:tcPr>
            <w:tcW w:type="dxa" w:w="302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Value</w:t>
            </w:r>
          </w:p>
        </w:tc>
        <w:tc>
          <w:tcPr>
            <w:tcW w:type="dxa" w:w="748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Explanation</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Free System Usage</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Participating stores can operate a loyalty program without a monthly software fee.</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Repeat Visit Growth</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Customers have a clear reason to come back because every purchase creates reward value.</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Cross-Store Traffic</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Customers can earn at one store and use vouchers at another participating store, creating a network effect.</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No POS Integration Required</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The service works with QR scanning and manual payment amount entry, making it easy for small businesses to start.</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Monthly GCash Settlement</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Stores that accept voucher payments receive a month-end settlement via GCash.</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Data Asset</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Stores can build a customer base for future promotions, reactivation, and CRM campaigns.</w:t>
            </w:r>
          </w:p>
        </w:tc>
      </w:tr>
    </w:tbl>
    <w:p>
      <w:pPr>
        <w:spacing w:after="20"/>
      </w:pPr>
    </w:p>
    <w:p>
      <w:pPr>
        <w:pStyle w:val="Heading1"/>
      </w:pPr>
      <w:r>
        <w:t>5. Main Value for Customers</w:t>
      </w:r>
    </w:p>
    <w:p>
      <w:pPr>
        <w:pStyle w:val="ListBullet"/>
      </w:pPr>
      <w:r>
        <w:rPr>
          <w:rFonts w:ascii="Arial" w:hAnsi="Arial" w:eastAsia="Arial"/>
          <w:sz w:val="19"/>
        </w:rPr>
        <w:t>Earn 5% reward credit from purchases at participating stores.</w:t>
      </w:r>
    </w:p>
    <w:p>
      <w:pPr>
        <w:pStyle w:val="ListBullet"/>
      </w:pPr>
      <w:r>
        <w:rPr>
          <w:rFonts w:ascii="Arial" w:hAnsi="Arial" w:eastAsia="Arial"/>
          <w:sz w:val="19"/>
        </w:rPr>
        <w:t>Use reward credits flexibly by converting them into vouchers.</w:t>
      </w:r>
    </w:p>
    <w:p>
      <w:pPr>
        <w:pStyle w:val="ListBullet"/>
      </w:pPr>
      <w:r>
        <w:rPr>
          <w:rFonts w:ascii="Arial" w:hAnsi="Arial" w:eastAsia="Arial"/>
          <w:sz w:val="19"/>
        </w:rPr>
        <w:t>Use vouchers across all participating BizFlow partner stores.</w:t>
      </w:r>
    </w:p>
    <w:p>
      <w:pPr>
        <w:pStyle w:val="ListBullet"/>
      </w:pPr>
      <w:r>
        <w:rPr>
          <w:rFonts w:ascii="Arial" w:hAnsi="Arial" w:eastAsia="Arial"/>
          <w:sz w:val="19"/>
        </w:rPr>
        <w:t>Keep all rewards in one simple QR-based account.</w:t>
      </w:r>
    </w:p>
    <w:p>
      <w:pPr>
        <w:pStyle w:val="ListBullet"/>
      </w:pPr>
      <w:r>
        <w:rPr>
          <w:rFonts w:ascii="Arial" w:hAnsi="Arial" w:eastAsia="Arial"/>
          <w:sz w:val="19"/>
        </w:rPr>
        <w:t>Avoid paper coupons, plastic loyalty cards, and complicated membership processes.</w:t>
      </w:r>
    </w:p>
    <w:p>
      <w:pPr>
        <w:pStyle w:val="Heading1"/>
      </w:pPr>
      <w:r>
        <w:t>6. Example Customer Journey</w:t>
      </w:r>
    </w:p>
    <w:p>
      <w:pPr>
        <w:pStyle w:val="BodyText"/>
      </w:pPr>
      <w:r>
        <w:rPr>
          <w:rFonts w:ascii="Arial" w:hAnsi="Arial" w:eastAsia="Arial"/>
          <w:sz w:val="20"/>
        </w:rPr>
        <w:t>Example: Maria visits a partner restaurant and spends PHP 1,200. The staff scans Maria QR code and enters PHP 1,200. The system adds PHP 60 reward credit to Maria account. After several purchases, Maria accumulates PHP 300 in reward credit, converts it into a PHP 300 voucher, and uses it at a participating cafe. At month-end, BizFlow settles the voucher amount with the cafe via GCash.</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Step</w:t>
            </w:r>
          </w:p>
        </w:tc>
        <w:tc>
          <w:tcPr>
            <w:tcW w:type="dxa" w:w="4752"/>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Action</w:t>
            </w:r>
          </w:p>
        </w:tc>
        <w:tc>
          <w:tcPr>
            <w:tcW w:type="dxa" w:w="4752"/>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System Result</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1</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pays PHP 1,200 at a partner restaurant.</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Purchase amount is ready for reward entry.</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2</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Staff scans customer QR code.</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account is identified.</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3</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Staff enters PHP 1,200.</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System calculates PHP 60 reward credit.</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4</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accumulates PHP 300 reward credit.</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can convert credit into voucher.</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uses PHP 300 voucher at a partner cafe.</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Cafe records voucher payment.</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6</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Month-end settlement is processed.</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BizFlow sends settlement to cafe via GCash.</w:t>
            </w:r>
          </w:p>
        </w:tc>
      </w:tr>
    </w:tbl>
    <w:p>
      <w:pPr>
        <w:spacing w:after="20"/>
      </w:pPr>
    </w:p>
    <w:p>
      <w:r>
        <w:br w:type="page"/>
      </w:r>
    </w:p>
    <w:p>
      <w:pPr>
        <w:pStyle w:val="Heading1"/>
      </w:pPr>
      <w:r>
        <w:t>7. Merchant Settlement Model</w:t>
      </w:r>
    </w:p>
    <w:p>
      <w:pPr>
        <w:pStyle w:val="BodyText"/>
      </w:pPr>
      <w:r>
        <w:rPr>
          <w:rFonts w:ascii="Arial" w:hAnsi="Arial" w:eastAsia="Arial"/>
          <w:sz w:val="20"/>
        </w:rPr>
        <w:t>When a customer uses a reward voucher at a participating store, the store receives settlement from BizFlow at the end of the month. The settlement is based on verified voucher payment records accepted by the store.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Store</w:t>
            </w:r>
          </w:p>
        </w:tc>
        <w:tc>
          <w:tcPr>
            <w:tcW w:type="dxa" w:w="2880"/>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Voucher Payments Accepted</w:t>
            </w:r>
          </w:p>
        </w:tc>
        <w:tc>
          <w:tcPr>
            <w:tcW w:type="dxa" w:w="230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Settlement Method</w:t>
            </w:r>
          </w:p>
        </w:tc>
        <w:tc>
          <w:tcPr>
            <w:tcW w:type="dxa" w:w="230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Settlement Timing</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Restaurant A</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8,500</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GCash</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Month-end</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Cafe B</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4,200</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GCash</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Month-end</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Skincare Clinic C</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12,000</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GCash</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Month-end</w:t>
            </w:r>
          </w:p>
        </w:tc>
      </w:tr>
    </w:tbl>
    <w:p>
      <w:pPr>
        <w:spacing w:after="20"/>
      </w:pPr>
    </w:p>
    <w:p>
      <w:pPr>
        <w:pStyle w:val="Heading2"/>
      </w:pPr>
      <w:r>
        <w:t>8. Settlement Report Items</w:t>
      </w:r>
    </w:p>
    <w:tbl>
      <w:tblPr>
        <w:tblStyle w:val="TableGrid"/>
        <w:tblW w:type="auto" w:w="0"/>
        <w:jc w:val="center"/>
        <w:tblLook w:firstColumn="1" w:firstRow="1" w:lastColumn="0" w:lastRow="0" w:noHBand="0" w:noVBand="1" w:val="04A0"/>
      </w:tblPr>
      <w:tblGrid>
        <w:gridCol w:w="5040"/>
        <w:gridCol w:w="5040"/>
      </w:tblGrid>
      <w:tr>
        <w:tc>
          <w:tcPr>
            <w:tcW w:type="dxa" w:w="316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Report Item</w:t>
            </w:r>
          </w:p>
        </w:tc>
        <w:tc>
          <w:tcPr>
            <w:tcW w:type="dxa" w:w="734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Description</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Voucher payment date</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Date when the voucher was used at the store.</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reference</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ID or masked mobile number for audit purposes.</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Voucher amount</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Amount used as voucher payment.</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 branch</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Branch where the voucher was accepted.</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Settlement amount</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Amount payable to the store.</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Settlement status</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Pending, processed, completed, or adjusted.</w:t>
            </w:r>
          </w:p>
        </w:tc>
      </w:tr>
    </w:tbl>
    <w:p>
      <w:pPr>
        <w:spacing w:after="20"/>
      </w:pPr>
    </w:p>
    <w:p>
      <w:pPr>
        <w:pStyle w:val="Heading1"/>
      </w:pPr>
      <w:r>
        <w:t>9. Feature List</w:t>
      </w:r>
    </w:p>
    <w:tbl>
      <w:tblPr>
        <w:tblStyle w:val="TableGrid"/>
        <w:tblW w:type="auto" w:w="0"/>
        <w:jc w:val="center"/>
        <w:tblLook w:firstColumn="1" w:firstRow="1" w:lastColumn="0" w:lastRow="0" w:noHBand="0" w:noVBand="1" w:val="04A0"/>
      </w:tblPr>
      <w:tblGrid>
        <w:gridCol w:w="5040"/>
        <w:gridCol w:w="5040"/>
      </w:tblGrid>
      <w:tr>
        <w:tc>
          <w:tcPr>
            <w:tcW w:type="dxa" w:w="302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Feature</w:t>
            </w:r>
          </w:p>
        </w:tc>
        <w:tc>
          <w:tcPr>
            <w:tcW w:type="dxa" w:w="748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Description</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QR Code</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Each customer receives a unique QR code linked to their reward wallet.</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Staff Scan Page</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 staff can scan QR codes and enter customer payment amounts.</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 Auto Reward Credit</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The system automatically calculates 5% of the entered payment amount.</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Reward Wallet</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Customers can check accumulated reward balance.</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Voucher Conversion</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Customers can convert reward credits into usable vouchers.</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Cross-Store Voucher Use</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Converted vouchers can be used across participating stores.</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Merchant Dashboard</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Stores can view reward issuance, voucher usage, customer visits, and settlement data.</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Monthly GCash Settlement</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Stores receive monthly settlement for accepted voucher payments.</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Fraud Monitoring</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The platform can flag duplicate scans, abnormal payment amounts, and suspicious activity.</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CRM Foundation</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purchase and reward behavior can support future retention campaigns.</w:t>
            </w:r>
          </w:p>
        </w:tc>
      </w:tr>
    </w:tbl>
    <w:p>
      <w:pPr>
        <w:spacing w:after="20"/>
      </w:pPr>
    </w:p>
    <w:p>
      <w:pPr>
        <w:pStyle w:val="Heading1"/>
      </w:pPr>
      <w:r>
        <w:t>10. Recommended Operating Rules</w:t>
      </w:r>
    </w:p>
    <w:p>
      <w:pPr>
        <w:pStyle w:val="ListNumber"/>
      </w:pPr>
      <w:r>
        <w:rPr>
          <w:rFonts w:ascii="Arial" w:hAnsi="Arial" w:eastAsia="Arial"/>
          <w:sz w:val="19"/>
        </w:rPr>
        <w:t>Reward credit is calculated based on the actual paid amount entered by store staff.</w:t>
      </w:r>
    </w:p>
    <w:p>
      <w:pPr>
        <w:pStyle w:val="ListNumber"/>
      </w:pPr>
      <w:r>
        <w:rPr>
          <w:rFonts w:ascii="Arial" w:hAnsi="Arial" w:eastAsia="Arial"/>
          <w:sz w:val="19"/>
        </w:rPr>
        <w:t>Reward credit is not cash and cannot be withdrawn by customers.</w:t>
      </w:r>
    </w:p>
    <w:p>
      <w:pPr>
        <w:pStyle w:val="ListNumber"/>
      </w:pPr>
      <w:r>
        <w:rPr>
          <w:rFonts w:ascii="Arial" w:hAnsi="Arial" w:eastAsia="Arial"/>
          <w:sz w:val="19"/>
        </w:rPr>
        <w:t>Reward credit can only be converted into vouchers for use within the BizFlow partner network.</w:t>
      </w:r>
    </w:p>
    <w:p>
      <w:pPr>
        <w:pStyle w:val="ListNumber"/>
      </w:pPr>
      <w:r>
        <w:rPr>
          <w:rFonts w:ascii="Arial" w:hAnsi="Arial" w:eastAsia="Arial"/>
          <w:sz w:val="19"/>
        </w:rPr>
        <w:t>Stores must confirm the correct payment amount before submitting reward credit.</w:t>
      </w:r>
    </w:p>
    <w:p>
      <w:pPr>
        <w:pStyle w:val="ListNumber"/>
      </w:pPr>
      <w:r>
        <w:rPr>
          <w:rFonts w:ascii="Arial" w:hAnsi="Arial" w:eastAsia="Arial"/>
          <w:sz w:val="19"/>
        </w:rPr>
        <w:t>Refunds, cancellations, and incorrect entries may be adjusted before settlement.</w:t>
      </w:r>
    </w:p>
    <w:p>
      <w:pPr>
        <w:pStyle w:val="ListNumber"/>
      </w:pPr>
      <w:r>
        <w:rPr>
          <w:rFonts w:ascii="Arial" w:hAnsi="Arial" w:eastAsia="Arial"/>
          <w:sz w:val="19"/>
        </w:rPr>
        <w:t>Monthly settlement is processed only after verification of voucher usage records.</w:t>
      </w:r>
    </w:p>
    <w:p>
      <w:pPr>
        <w:pStyle w:val="ListNumber"/>
      </w:pPr>
      <w:r>
        <w:rPr>
          <w:rFonts w:ascii="Arial" w:hAnsi="Arial" w:eastAsia="Arial"/>
          <w:sz w:val="19"/>
        </w:rPr>
        <w:t>BizFlow should maintain audit logs for scan records, payment entries, voucher conversion, voucher usage, and settlement status.</w:t>
      </w:r>
    </w:p>
    <w:p>
      <w:pPr>
        <w:pStyle w:val="ListNumber"/>
      </w:pPr>
      <w:r>
        <w:rPr>
          <w:rFonts w:ascii="Arial" w:hAnsi="Arial" w:eastAsia="Arial"/>
          <w:sz w:val="19"/>
        </w:rPr>
        <w:t>Final merchant terms should include privacy, settlement, refund, cancellation, and fraud prevention rules.</w:t>
      </w:r>
    </w:p>
    <w:p>
      <w:r>
        <w:br w:type="page"/>
      </w:r>
    </w:p>
    <w:p>
      <w:pPr>
        <w:pStyle w:val="Heading1"/>
      </w:pPr>
      <w:r>
        <w:t>11. Recommended Target Businesses</w:t>
      </w:r>
    </w:p>
    <w:tbl>
      <w:tblPr>
        <w:tblStyle w:val="TableGrid"/>
        <w:tblW w:type="auto" w:w="0"/>
        <w:jc w:val="center"/>
        <w:tblLook w:firstColumn="1" w:firstRow="1" w:lastColumn="0" w:lastRow="0" w:noHBand="0" w:noVBand="1" w:val="04A0"/>
      </w:tblPr>
      <w:tblGrid>
        <w:gridCol w:w="5040"/>
        <w:gridCol w:w="5040"/>
      </w:tblGrid>
      <w:tr>
        <w:tc>
          <w:tcPr>
            <w:tcW w:type="dxa" w:w="3312"/>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Segment</w:t>
            </w:r>
          </w:p>
        </w:tc>
        <w:tc>
          <w:tcPr>
            <w:tcW w:type="dxa" w:w="7200"/>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Why It Fits</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Restaurants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Encourages repeat dining, group visits, and cross-store discovery.</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Cafes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Strong fit for frequent small purchases and regular customer habits.</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Skincare Clinics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High repeat visit and package upsell potential.</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Beauty Salons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Good fit for regular service cycles and appointment-based retention.</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Pet Clinics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Repeat care, grooming, vaccination, and reminder campaign potential.</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Retail Stores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Encourages repeat shopping and customer database growth.</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Korean-owned SMEs in the Philippines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Strong community-based network potential.</w:t>
            </w:r>
          </w:p>
        </w:tc>
      </w:tr>
    </w:tbl>
    <w:p>
      <w:pPr>
        <w:spacing w:after="20"/>
      </w:pPr>
    </w:p>
    <w:p>
      <w:pPr>
        <w:pStyle w:val="Heading1"/>
      </w:pPr>
      <w:r>
        <w:t>12. Suggested Sales Message</w:t>
      </w:r>
    </w:p>
    <w:tbl>
      <w:tblPr>
        <w:tblW w:type="auto" w:w="0"/>
        <w:jc w:val="center"/>
        <w:tblLook w:firstColumn="1" w:firstRow="1" w:lastColumn="0" w:lastRow="0" w:noHBand="0" w:noVBand="1" w:val="04A0"/>
      </w:tblPr>
      <w:tblGrid>
        <w:gridCol w:w="10080"/>
      </w:tblGrid>
      <w:tr>
        <w:tc>
          <w:tcPr>
            <w:tcW w:type="dxa" w:w="10080"/>
            <w:shd w:fill="F8FAFC"/>
            <w:tcBorders>
              <w:top w:sz="8" w:val="single" w:color="94A3B8"/>
              <w:left w:sz="8" w:val="single" w:color="94A3B8"/>
              <w:bottom w:sz="8" w:val="single" w:color="94A3B8"/>
              <w:right w:sz="8" w:val="single" w:color="94A3B8"/>
            </w:tcBorders>
          </w:tcPr>
          <w:p>
            <w:pPr>
              <w:spacing w:after="60"/>
            </w:pPr>
            <w:r>
              <w:rPr>
                <w:rFonts w:ascii="Arial" w:hAnsi="Arial" w:eastAsia="Arial"/>
                <w:b/>
                <w:color w:val="1F2E4D"/>
                <w:sz w:val="20"/>
              </w:rPr>
              <w:t>Merchant Pitch</w:t>
            </w:r>
          </w:p>
          <w:p>
            <w:pPr>
              <w:spacing w:after="0"/>
            </w:pPr>
            <w:r>
              <w:rPr>
                <w:rFonts w:ascii="Arial" w:hAnsi="Arial" w:eastAsia="Arial"/>
                <w:sz w:val="19"/>
              </w:rPr>
              <w:t>Launch your own rewards program for free. Customers earn 5% reward credit from purchases, convert credits into vouchers, and use them across participating BizFlow partner stores. You get more repeat visits, more customer data, and monthly GCash settlement for voucher payments accepted at your store.</w:t>
            </w:r>
          </w:p>
        </w:tc>
      </w:tr>
    </w:tbl>
    <w:p>
      <w:pPr>
        <w:pStyle w:val="Heading1"/>
      </w:pPr>
      <w:r>
        <w:t>13. Differentiation</w:t>
      </w:r>
    </w:p>
    <w:tbl>
      <w:tblPr>
        <w:tblStyle w:val="TableGrid"/>
        <w:tblW w:type="auto" w:w="0"/>
        <w:jc w:val="center"/>
        <w:tblLook w:firstColumn="1" w:firstRow="1" w:lastColumn="0" w:lastRow="0" w:noHBand="0" w:noVBand="1" w:val="04A0"/>
      </w:tblPr>
      <w:tblGrid>
        <w:gridCol w:w="5040"/>
        <w:gridCol w:w="5040"/>
      </w:tblGrid>
      <w:tr>
        <w:tc>
          <w:tcPr>
            <w:tcW w:type="dxa" w:w="4896"/>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Traditional Loyalty Program</w:t>
            </w:r>
          </w:p>
        </w:tc>
        <w:tc>
          <w:tcPr>
            <w:tcW w:type="dxa" w:w="5472"/>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BizFlow Rewards Network</w:t>
            </w:r>
          </w:p>
        </w:tc>
      </w:tr>
      <w:tr>
        <w:tc>
          <w:tcPr>
            <w:tcW w:type="dxa" w:w="4896"/>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Limited to one store or one brand</w:t>
            </w:r>
          </w:p>
        </w:tc>
        <w:tc>
          <w:tcPr>
            <w:tcW w:type="dxa" w:w="547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Usable across all participating partner stores</w:t>
            </w:r>
          </w:p>
        </w:tc>
      </w:tr>
      <w:tr>
        <w:tc>
          <w:tcPr>
            <w:tcW w:type="dxa" w:w="4896"/>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May require expensive software or POS integration</w:t>
            </w:r>
          </w:p>
        </w:tc>
        <w:tc>
          <w:tcPr>
            <w:tcW w:type="dxa" w:w="547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Starts with QR scan and manual payment entry</w:t>
            </w:r>
          </w:p>
        </w:tc>
      </w:tr>
      <w:tr>
        <w:tc>
          <w:tcPr>
            <w:tcW w:type="dxa" w:w="4896"/>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Rewards often go unused</w:t>
            </w:r>
          </w:p>
        </w:tc>
        <w:tc>
          <w:tcPr>
            <w:tcW w:type="dxa" w:w="547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Customers have more places to use converted vouchers</w:t>
            </w:r>
          </w:p>
        </w:tc>
      </w:tr>
      <w:tr>
        <w:tc>
          <w:tcPr>
            <w:tcW w:type="dxa" w:w="4896"/>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Hard to generate new-store traffic</w:t>
            </w:r>
          </w:p>
        </w:tc>
        <w:tc>
          <w:tcPr>
            <w:tcW w:type="dxa" w:w="547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Network effect can drive cross-store visits</w:t>
            </w:r>
          </w:p>
        </w:tc>
      </w:tr>
      <w:tr>
        <w:tc>
          <w:tcPr>
            <w:tcW w:type="dxa" w:w="4896"/>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Small stores struggle to build CRM data</w:t>
            </w:r>
          </w:p>
        </w:tc>
        <w:tc>
          <w:tcPr>
            <w:tcW w:type="dxa" w:w="547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Every scan creates usable customer and visit data</w:t>
            </w:r>
          </w:p>
        </w:tc>
      </w:tr>
    </w:tbl>
    <w:p>
      <w:pPr>
        <w:spacing w:after="20"/>
      </w:pPr>
    </w:p>
    <w:p>
      <w:pPr>
        <w:pStyle w:val="Heading1"/>
      </w:pPr>
      <w:r>
        <w:t>14. Closing Statement</w:t>
      </w:r>
    </w:p>
    <w:p>
      <w:pPr>
        <w:pStyle w:val="BodyText"/>
      </w:pPr>
      <w:r>
        <w:rPr>
          <w:rFonts w:ascii="Arial" w:hAnsi="Arial" w:eastAsia="Arial"/>
          <w:sz w:val="20"/>
        </w:rPr>
        <w:t>BizFlow Rewards Network helps local businesses offer a modern loyalty program without system fees, complex setup, or expensive POS integration. By combining QR-based reward collection, 5% purchase-based credits, voucher conversion, cross-store usage, and monthly GCash settlement, the service creates a practical shared customer retention network for restaurants, cafes, stores, clinics, and local brands.</w:t>
      </w:r>
    </w:p>
    <w:sectPr w:rsidR="00FC693F" w:rsidRPr="0006063C" w:rsidSect="00034616">
      <w:footerReference w:type="default" r:id="rId9"/>
      <w:pgSz w:w="12240" w:h="15840"/>
      <w:pgMar w:top="936"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48B"/>
        <w:sz w:val="16"/>
      </w:rPr>
      <w:t>BizFlow Rewards Network - Add-On Service Introduction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E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2E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