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Final Report — Newsletter Email Subscription</w:t>
      </w:r>
    </w:p>
    <w:p>
      <w:r>
        <w:t>วันที่ออกรายงาน: 2026-09-19</w:t>
        <w:br/>
      </w:r>
      <w:r>
        <w:t>Deadline: 2026-10-03</w:t>
        <w:br/>
      </w:r>
      <w:r>
        <w:t>Environment: Staging (จำลองด้วย Demo App ของตัวอย่างนี้) — Browser: Chromium (ยังไม่ครบตาม Env &amp; Config)</w:t>
      </w:r>
    </w:p>
    <w:p>
      <w:pPr>
        <w:pStyle w:val="Heading1"/>
      </w:pPr>
      <w:r>
        <w:t>ผลสรุป</w:t>
      </w:r>
    </w:p>
    <w:p>
      <w:r>
        <w:rPr>
          <w:b/>
          <w:color w:val="CC6600"/>
          <w:sz w:val="40"/>
        </w:rPr>
        <w:t>Conditional Go</w:t>
      </w:r>
    </w:p>
    <w:p>
      <w:r>
        <w:rPr>
          <w:b/>
          <w:color w:val="CC6600"/>
          <w:sz w:val="24"/>
        </w:rPr>
        <w:t>⚠ ชั่วคราว (Provisional): ผลทดสอบใน qa-automation-script (06a) และ result-analysis (07) รันได้จริงแค่ Browser Chromium เท่านั้น ยังไม่ครบตาม Env &amp; Config ที่กำหนด (Chrome, Safari, Firefox, Edge) — ผู้ใช้เลือกให้ สรุปรายงานฉบับนี้โดยอิงข้อมูล Partial (Chromium-only) นี้ไปก่อน</w:t>
      </w:r>
    </w:p>
    <w:p>
      <w:r>
        <w:t>เหตุผล: ไม่มี Test Case สถานะ 'not start' เหลืออยู่ (ทดสอบครบ 11/11 เคสเท่าที่รันได้บน Chromium) และไม่มี บั๊กจริงระดับ P0 ค้าง แต่พบบั๊กจริงระดับ P1 ที่ยังไม่ได้แก้ 1 เคส (TC-005 — เช็คอีเมลซ้ำแบบ case-sensitive ตาม BR-002/RISK-001) จึงเป็น Conditional Go: ปล่อยได้ถ้าผู้อนุมัติรับทราบและยอมรับ Known Issue นี้อย่างชัดเจนก่อน ไม่ใช่ Go แบบเต็มรูปแบบ</w:t>
      </w:r>
    </w:p>
    <w:p>
      <w:pPr>
        <w:pStyle w:val="Heading1"/>
      </w:pPr>
      <w:r>
        <w:t>Test Coverage</w:t>
      </w:r>
    </w:p>
    <w:p>
      <w:r>
        <w:t>ทดสอบไปแล้ว 11 จาก 11 เคส (100.0%)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P3</w:t>
            </w:r>
          </w:p>
        </w:tc>
      </w:tr>
      <w:tr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pPr>
        <w:pStyle w:val="Heading1"/>
      </w:pPr>
      <w:r>
        <w:t>Known Issues / ความเสี่ยงที่ยังค้างอยู่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936"/>
        <w:gridCol w:w="648"/>
        <w:gridCol w:w="3240"/>
        <w:gridCol w:w="2952"/>
      </w:tblGrid>
      <w:tr>
        <w:tc>
          <w:tcPr>
            <w:tcW w:type="dxa" w:w="1584"/>
          </w:tcPr>
          <w:p>
            <w:r>
              <w:rPr>
                <w:sz w:val="20"/>
              </w:rPr>
              <w:t>หมวด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Test Case</w:t>
            </w:r>
          </w:p>
        </w:tc>
        <w:tc>
          <w:tcPr>
            <w:tcW w:type="dxa" w:w="648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รายละเอียด</w:t>
            </w:r>
          </w:p>
        </w:tc>
        <w:tc>
          <w:tcPr>
            <w:tcW w:type="dxa" w:w="2952"/>
          </w:tcPr>
          <w:p>
            <w:r>
              <w:rPr>
                <w:sz w:val="20"/>
              </w:rPr>
              <w:t>คำแนะนำ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20"/>
              </w:rPr>
              <w:t>บั๊กจริงยังไม่แก้ (P1)</w:t>
            </w:r>
          </w:p>
        </w:tc>
        <w:tc>
          <w:tcPr>
            <w:tcW w:type="dxa" w:w="936"/>
            <w:vAlign w:val="top"/>
          </w:tcPr>
          <w:p>
            <w:r>
              <w:rPr>
                <w:sz w:val="20"/>
              </w:rPr>
              <w:t>TC-005</w:t>
            </w:r>
          </w:p>
        </w:tc>
        <w:tc>
          <w:tcPr>
            <w:tcW w:type="dxa" w:w="648"/>
            <w:vAlign w:val="top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3240"/>
            <w:vAlign w:val="top"/>
          </w:tcPr>
          <w:p>
            <w:r>
              <w:rPr>
                <w:sz w:val="20"/>
              </w:rPr>
              <w:t>ระบบยอมให้สมัครซ้ำด้วยอีเมลที่ต่างแค่ตัวพิมพ์เล็ก-ใหญ่ได้ (เช่น Dup02@Example.com ซ้ำกับ dup02@example.com ที่สมัครไปแล้ว) เพราะเช็คซ้ำแบบ exact-match case-sensitive ตาม BR-002 ปัจจุบัน — ยืนยันจากผลรัน Automation จริงแล้วว่าเกิดขึ้นจริงตามที่ RISK-001 คาดไว้</w:t>
            </w:r>
          </w:p>
        </w:tc>
        <w:tc>
          <w:tcPr>
            <w:tcW w:type="dxa" w:w="2952"/>
            <w:vAlign w:val="top"/>
          </w:tcPr>
          <w:p>
            <w:r>
              <w:rPr>
                <w:sz w:val="20"/>
              </w:rPr>
              <w:t>แก้ให้เช็คซ้ำแบบ case-insensitive (normalize เป็นตัวพิมพ์เล็กก่อนเทียบ) ตามพฤติกรรมที่ ผู้ใช้ทั่วไปคาดหวัง แล้วรัน TC-005 ซ้ำเพื่อยืนยัน หรือถ้าทีม Marketing ยืนยันว่า exact-match เป็นพฤติกรรมที่ต้องการจริง ให้ปิด RISK-001 อย่างเป็นทางการแล้วปรับ Expected Result ของ TC-005 ใหม่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20"/>
              </w:rPr>
              <w:t>Browser ยังไม่ครบ</w:t>
            </w:r>
          </w:p>
        </w:tc>
        <w:tc>
          <w:tcPr>
            <w:tcW w:type="dxa" w:w="936"/>
            <w:vAlign w:val="top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648"/>
            <w:vAlign w:val="top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240"/>
            <w:vAlign w:val="top"/>
          </w:tcPr>
          <w:p>
            <w:r>
              <w:rPr>
                <w:sz w:val="20"/>
              </w:rPr>
              <w:t>รัน Automation จริงแล้วแค่ Chromium — ยังไม่ได้รันบน Safari, Firefox, Edge ตามที่ Env &amp; Config กำหนด (เป็นสมมติฐานที่รอ OQ-03 ยืนยันด้วย)</w:t>
            </w:r>
          </w:p>
        </w:tc>
        <w:tc>
          <w:tcPr>
            <w:tcW w:type="dxa" w:w="2952"/>
            <w:vAlign w:val="top"/>
          </w:tcPr>
          <w:p>
            <w:r>
              <w:rPr>
                <w:sz w:val="20"/>
              </w:rPr>
              <w:t>หา environment ที่มี Browser ครบแล้วรันซ้ำก่อนปิด Feature จริง โดยเฉพาะ Safari เนื่องจากมี พฤติกรรม Rendering ต่างจาก Chromium มากที่สุด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20"/>
              </w:rPr>
              <w:t>Orphan Test Case (Accepted Gap)</w:t>
            </w:r>
          </w:p>
        </w:tc>
        <w:tc>
          <w:tcPr>
            <w:tcW w:type="dxa" w:w="936"/>
            <w:vAlign w:val="top"/>
          </w:tcPr>
          <w:p>
            <w:r>
              <w:rPr>
                <w:sz w:val="20"/>
              </w:rPr>
              <w:t>TC-010</w:t>
            </w:r>
          </w:p>
        </w:tc>
        <w:tc>
          <w:tcPr>
            <w:tcW w:type="dxa" w:w="648"/>
            <w:vAlign w:val="top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3240"/>
            <w:vAlign w:val="top"/>
          </w:tcPr>
          <w:p>
            <w:r>
              <w:rPr>
                <w:sz w:val="20"/>
              </w:rPr>
              <w:t>ไม่ผูกกับ BR/Flow ใดในตาราง RTM เพราะทดสอบ REQ-NF-002 (Cross-cutting) ที่ไม่มี Flow เฉพาะของตัวเอง</w:t>
            </w:r>
          </w:p>
        </w:tc>
        <w:tc>
          <w:tcPr>
            <w:tcW w:type="dxa" w:w="2952"/>
            <w:vAlign w:val="top"/>
          </w:tcPr>
          <w:p>
            <w:r>
              <w:rPr>
                <w:sz w:val="20"/>
              </w:rPr>
              <w:t>ไม่ต้องแก้ไข — ผู้ใช้ยืนยันรับทราบแล้วว่าเป็นลักษณะที่ตั้งใจ (Accepted Gap ตาม RTM Findings)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20"/>
              </w:rPr>
              <w:t>Coverage ที่ยังขาด (Deferred)</w:t>
            </w:r>
          </w:p>
        </w:tc>
        <w:tc>
          <w:tcPr>
            <w:tcW w:type="dxa" w:w="936"/>
            <w:vAlign w:val="top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648"/>
            <w:vAlign w:val="top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240"/>
            <w:vAlign w:val="top"/>
          </w:tcPr>
          <w:p>
            <w:r>
              <w:rPr>
                <w:sz w:val="20"/>
              </w:rPr>
              <w:t>REQ-NF-003 (Compliance/PDPA) และ REQ-NF-004 (Performance) ยังไม่มี Test Case ใดรองรับเลย — Defer มาตั้งแต่ coverage-review (04) และยืนยันซ้ำอีกครั้งใน RTM</w:t>
            </w:r>
          </w:p>
        </w:tc>
        <w:tc>
          <w:tcPr>
            <w:tcW w:type="dxa" w:w="2952"/>
            <w:vAlign w:val="top"/>
          </w:tcPr>
          <w:p>
            <w:r>
              <w:rPr>
                <w:sz w:val="20"/>
              </w:rPr>
              <w:t>รอเกณฑ์ที่เป็นรูปธรรมจากทีม Legal/Product (PDPA) และเป้าหมายตัวเลข Performance ก่อนเขียน Test Case เพิ่ม — ควรปิดก่อนเปิดใช้งานจริงเต็มรูปแบบ (v2) แม้จะไม่ block การปล่อย v1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20"/>
              </w:rPr>
              <w:t>Business Rule มี Assumption ค้าง</w:t>
            </w:r>
          </w:p>
        </w:tc>
        <w:tc>
          <w:tcPr>
            <w:tcW w:type="dxa" w:w="936"/>
            <w:vAlign w:val="top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648"/>
            <w:vAlign w:val="top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3240"/>
            <w:vAlign w:val="top"/>
          </w:tcPr>
          <w:p>
            <w:r>
              <w:rPr>
                <w:sz w:val="20"/>
              </w:rPr>
              <w:t>BR-002 (เช็คอีเมลซ้ำแบบ case-sensitive) และ FLOW-001 ยังไม่ได้รับการยืนยันจากทีม Marketing (OQ-02/RISK-001 High) — TC-005 ยืนยันแล้วว่าเป็นความเสี่ยงจริง ไม่ใช่แค่สมมติฐาน</w:t>
            </w:r>
          </w:p>
        </w:tc>
        <w:tc>
          <w:tcPr>
            <w:tcW w:type="dxa" w:w="2952"/>
            <w:vAlign w:val="top"/>
          </w:tcPr>
          <w:p>
            <w:r>
              <w:rPr>
                <w:sz w:val="20"/>
              </w:rPr>
              <w:t>ต้องได้คำตอบยืนยันจากทีม Marketing ก่อนปิด Feature เต็มรูปแบบ ผูกกับการแก้บั๊ก TC-005 ข้างต้นด้วยกัน</w:t>
            </w:r>
          </w:p>
        </w:tc>
      </w:tr>
    </w:tbl>
    <w:p>
      <w:pPr>
        <w:pStyle w:val="Heading1"/>
      </w:pPr>
      <w:r>
        <w:t>Environment / เวอร์ชันที่ทดสอบ</w:t>
      </w:r>
    </w:p>
    <w:p>
      <w:r>
        <w:t>Browser ที่ทดสอบแล้ว: Chromium</w:t>
      </w:r>
    </w:p>
    <w:p>
      <w:r>
        <w:t>Browser ที่ต้องทดสอบตาม Env &amp; Config: Chrome, Safari, Firefox, Edge</w:t>
      </w:r>
    </w:p>
    <w:p>
      <w:r>
        <w:rPr>
          <w:b/>
          <w:color w:val="CC0000"/>
        </w:rPr>
        <w:t>⚠ ยังทดสอบไม่ครบทุก Browser ที่กำหนด</w:t>
      </w:r>
    </w:p>
    <w:p>
      <w:pPr>
        <w:pStyle w:val="Heading1"/>
      </w:pPr>
      <w:r>
        <w:t>วันที่เสร็จจริงเทียบ Deadline</w:t>
      </w:r>
    </w:p>
    <w:p>
      <w:r>
        <w:t>เหลืออีก 14 วันก่อนถึง Deadline (Deadline: 2026-10-03, วันนี้: 2026-09-19)</w:t>
      </w:r>
    </w:p>
    <w:p>
      <w:pPr>
        <w:pStyle w:val="Heading1"/>
      </w:pPr>
      <w:r>
        <w:t>Next Steps</w:t>
      </w:r>
    </w:p>
    <w:p>
      <w:pPr>
        <w:pStyle w:val="ListBullet"/>
      </w:pPr>
      <w:r>
        <w:t>แก้บั๊ก TC-005 (BR-002 เช็คอีเมลซ้ำแบบ case-sensitive) หรือได้รับการยืนยัน/ยอมรับอย่างเป็นทางการจากผู้อนุมัติว่าจะปล่อยพร้อม Known Issue นี้ก่อน</w:t>
      </w:r>
    </w:p>
    <w:p>
      <w:pPr>
        <w:pStyle w:val="ListBullet"/>
      </w:pPr>
      <w:r>
        <w:t>รัน Automation ให้ครบทุก Browser ตาม Env &amp; Config (Safari, Firefox, Edge) ก่อนปิด Feature จริง เพื่อให้รายงานพ้นสถานะ Provisional</w:t>
      </w:r>
    </w:p>
    <w:p>
      <w:pPr>
        <w:pStyle w:val="ListBullet"/>
      </w:pPr>
      <w:r>
        <w:t>ยืนยัน OQ-02 (พฤติกรรม case-sensitive ที่ต้องการจริง) และ OQ-03 (Browser list จริง) จากทีมที่เกี่ยวข้อง</w:t>
      </w:r>
    </w:p>
    <w:p>
      <w:pPr>
        <w:pStyle w:val="ListBullet"/>
      </w:pPr>
      <w:r>
        <w:t>เปิด Redmine Ticket สำหรับ TC-005 ผ่าน redmine-logging (09) เพื่อติดตามการแก้บั๊กอย่างเป็นทางการ</w:t>
      </w:r>
    </w:p>
    <w:p>
      <w:pPr>
        <w:pStyle w:val="ListBullet"/>
      </w:pPr>
      <w:r>
        <w:t>ถ้าตัดสินใจปล่อยพร้อม Known Issue นี้ ต้องได้ลายเซ็นอนุมัติจาก QA Lead และ PM/Product Owner ในรายงานนี้ก่อน</w:t>
      </w:r>
    </w:p>
    <w:p>
      <w:pPr>
        <w:pStyle w:val="Heading1"/>
      </w:pPr>
      <w:r>
        <w:t>ช่องเซ็นอนุมัติ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ชื่อ</w:t>
            </w:r>
          </w:p>
        </w:tc>
        <w:tc>
          <w:tcPr>
            <w:tcW w:type="dxa" w:w="2160"/>
          </w:tcPr>
          <w:p>
            <w:r>
              <w:t>ลายเซ็น</w:t>
            </w:r>
          </w:p>
        </w:tc>
        <w:tc>
          <w:tcPr>
            <w:tcW w:type="dxa" w:w="2160"/>
          </w:tcPr>
          <w:p>
            <w:r>
              <w:t>วันที่</w:t>
            </w:r>
          </w:p>
        </w:tc>
      </w:tr>
      <w:tr>
        <w:tc>
          <w:tcPr>
            <w:tcW w:type="dxa" w:w="2160"/>
          </w:tcPr>
          <w:p>
            <w:r>
              <w:t>QA Lead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PM / Product Owner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