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with a keen interest in IT support and systems administration, I bring a solid foundation in software development, data-driven methodologies, and proficiency in macOS and Windows. My detail-oriented nature, strong communication skills, and team-oriented mindset allow me to effectively manage tasks and contribute to technology operations. I am eager to apply my skills in a role that allows me to drive technological advancements, while also expanding my knowledge in systems administration.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executed comprehensive software solutions to simulate complex orbit and access scenarios, leveraging strong technical skills in macOS and Windows, demonstrating a detail-oriented and organized approach.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dynamic 2D space shooter game using Python, demonstrating strong technical proficiency and problem-solving skills, fundamental for IT support and systems administration roles.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Architected and seamlessly integrated a user-centric interface, enhancing system administration efficiency and intuitiveness, thereby optimizing the user experience for a diverse player base.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sophisticated Java-based system for efficient management and analysis of DNA data, demonstrating an advanced understanding of systems administration and a detail-oriented approach to technology operations.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