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As a dedicated Computer Science student with a passion for leveraging technology to drive impactful solutions, I am well-equipped to contribute to a dynamic team-oriented environment focused on innovation in the tech industry. With a strong foundation in software development and data-driven methodologies, I excel in solving complex technical problems and designing efficient systems. My experience in collaborating with diverse teams and deriving meaningful insights from data aligns well with the mission of empowering individuals to grow and earn through technological advancements. Seeking to further develop my technical skills in IT support and systems administration, I am eager to contribute to transformative projects that drive change in the industry.</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