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Passionate Computer Science student with a focus on software development and data-driven methodologies, eager to contribute technical expertise to a dynamic team. Skilled in designing efficient systems, problem-solving, and deriving insights from data to drive impactful solutions. Seeking an opportunity in IT support, systems administration, or technology operations to further develop skills and drive technological advancements in a collaborative environment.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