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driven Computer Science student with a passion for software development and data-driven methodologies, I am eager to contribute to cutting-edge AI projects and help build the future of AI agent infrastructure. With a solid foundation in Python programming and a knack for solving complex technical problems, I am well-equipped to handle backend development, agent system implementation, and API integration. I thrive in collaborative environments where innovation drives impactful solutions, and I am excited to further develop my technical skills while contributing to transformative projects in a dynamic role.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