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CEF01" w14:textId="01A5647A"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t xml:space="preserve">## </w:t>
      </w:r>
      <w:r>
        <w:rPr>
          <w:rFonts w:ascii="Times New Roman" w:hAnsi="Times New Roman" w:cs="Times New Roman"/>
          <w:sz w:val="24"/>
          <w:szCs w:val="24"/>
          <w:lang w:val="en-US"/>
        </w:rPr>
        <w:t xml:space="preserve">Results and </w:t>
      </w:r>
      <w:r w:rsidRPr="00FA6E3D">
        <w:rPr>
          <w:rFonts w:ascii="Times New Roman" w:hAnsi="Times New Roman" w:cs="Times New Roman"/>
          <w:sz w:val="24"/>
          <w:szCs w:val="24"/>
        </w:rPr>
        <w:t>Discussion</w:t>
      </w:r>
    </w:p>
    <w:p w14:paraId="2CB9AAE4" w14:textId="77777777" w:rsidR="00FA6E3D" w:rsidRPr="00FA6E3D" w:rsidRDefault="00FA6E3D" w:rsidP="00FA6E3D">
      <w:pPr>
        <w:spacing w:line="360" w:lineRule="auto"/>
        <w:jc w:val="both"/>
        <w:rPr>
          <w:rFonts w:ascii="Times New Roman" w:hAnsi="Times New Roman" w:cs="Times New Roman"/>
          <w:sz w:val="24"/>
          <w:szCs w:val="24"/>
        </w:rPr>
      </w:pPr>
    </w:p>
    <w:p w14:paraId="69DDC923"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t>### Overview</w:t>
      </w:r>
    </w:p>
    <w:p w14:paraId="7C7A3B86" w14:textId="77777777" w:rsidR="00FA6E3D" w:rsidRPr="00FA6E3D" w:rsidRDefault="00FA6E3D" w:rsidP="00FA6E3D">
      <w:pPr>
        <w:spacing w:line="360" w:lineRule="auto"/>
        <w:jc w:val="both"/>
        <w:rPr>
          <w:rFonts w:ascii="Times New Roman" w:hAnsi="Times New Roman" w:cs="Times New Roman"/>
          <w:sz w:val="24"/>
          <w:szCs w:val="24"/>
        </w:rPr>
      </w:pPr>
    </w:p>
    <w:p w14:paraId="784A6E86"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t>The adoption of artificial intelligence (AI) in medical imaging for cancer diagnosis, prognosis, and treatment monitoring represents a transformative shift in modern healthcare. Our umbrella review, synthesizing over 80 systematic reviews and meta-analyses, provides a global perspective on the current state, strengths, challenges, and future directions of AI in oncological imaging.</w:t>
      </w:r>
    </w:p>
    <w:p w14:paraId="5A7F0BC8" w14:textId="77777777" w:rsidR="00FA6E3D" w:rsidRPr="00FA6E3D" w:rsidRDefault="00FA6E3D" w:rsidP="00FA6E3D">
      <w:pPr>
        <w:spacing w:line="360" w:lineRule="auto"/>
        <w:jc w:val="both"/>
        <w:rPr>
          <w:rFonts w:ascii="Times New Roman" w:hAnsi="Times New Roman" w:cs="Times New Roman"/>
          <w:sz w:val="24"/>
          <w:szCs w:val="24"/>
        </w:rPr>
      </w:pPr>
    </w:p>
    <w:p w14:paraId="56F3D04C"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t>### Summary of Major Findings</w:t>
      </w:r>
    </w:p>
    <w:p w14:paraId="628AC8E0" w14:textId="77777777" w:rsidR="00FA6E3D" w:rsidRPr="00FA6E3D" w:rsidRDefault="00FA6E3D" w:rsidP="00FA6E3D">
      <w:pPr>
        <w:spacing w:line="360" w:lineRule="auto"/>
        <w:jc w:val="both"/>
        <w:rPr>
          <w:rFonts w:ascii="Times New Roman" w:hAnsi="Times New Roman" w:cs="Times New Roman"/>
          <w:sz w:val="24"/>
          <w:szCs w:val="24"/>
        </w:rPr>
      </w:pPr>
    </w:p>
    <w:p w14:paraId="01492E58"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t>The overwhelming majority of included studies were meta-analyses (91.2%), which demonstrates the field's rapid progression from exploratory studies to more mature, quantitative syntheses. These meta-analyses collectively represent thousands of primary research studies and patient cases, covering a wide range of cancer types, imaging modalities (CT, MRI, PET, ultrasound, mammography, etc.), and AI methodologies, including deep learning, machine learning, and hybrid models.</w:t>
      </w:r>
    </w:p>
    <w:p w14:paraId="6F8387D5" w14:textId="77777777" w:rsidR="00FA6E3D" w:rsidRPr="00FA6E3D" w:rsidRDefault="00FA6E3D" w:rsidP="00FA6E3D">
      <w:pPr>
        <w:spacing w:line="360" w:lineRule="auto"/>
        <w:jc w:val="both"/>
        <w:rPr>
          <w:rFonts w:ascii="Times New Roman" w:hAnsi="Times New Roman" w:cs="Times New Roman"/>
          <w:sz w:val="24"/>
          <w:szCs w:val="24"/>
        </w:rPr>
      </w:pPr>
    </w:p>
    <w:p w14:paraId="23FEFA7B"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t>Across studies, AI models, particularly deep convolutional neural networks (CNNs), were frequently shown to match or surpass human expert performance in tasks such as tumor detection, segmentation, and classification [1,2]. For example, recent meta-analyses have reported pooled sensitivities and specificities for AI approaches in breast cancer screening that are comparable to, or even exceed, those of radiologists [3,4]. Similarly, AI applications in lung cancer CT screening and prostate MRI interpretation have demonstrated promising accuracy and reproducibility [5,6].</w:t>
      </w:r>
    </w:p>
    <w:p w14:paraId="07DC08B2" w14:textId="77777777" w:rsidR="00FA6E3D" w:rsidRPr="00FA6E3D" w:rsidRDefault="00FA6E3D" w:rsidP="00FA6E3D">
      <w:pPr>
        <w:spacing w:line="360" w:lineRule="auto"/>
        <w:jc w:val="both"/>
        <w:rPr>
          <w:rFonts w:ascii="Times New Roman" w:hAnsi="Times New Roman" w:cs="Times New Roman"/>
          <w:sz w:val="24"/>
          <w:szCs w:val="24"/>
        </w:rPr>
      </w:pPr>
    </w:p>
    <w:p w14:paraId="1F463722"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t>### Strengths and Opportunities</w:t>
      </w:r>
    </w:p>
    <w:p w14:paraId="63BDDC1B" w14:textId="77777777" w:rsidR="00FA6E3D" w:rsidRPr="00FA6E3D" w:rsidRDefault="00FA6E3D" w:rsidP="00FA6E3D">
      <w:pPr>
        <w:spacing w:line="360" w:lineRule="auto"/>
        <w:jc w:val="both"/>
        <w:rPr>
          <w:rFonts w:ascii="Times New Roman" w:hAnsi="Times New Roman" w:cs="Times New Roman"/>
          <w:sz w:val="24"/>
          <w:szCs w:val="24"/>
        </w:rPr>
      </w:pPr>
    </w:p>
    <w:p w14:paraId="05B1DFF6"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t>#### Diagnostic and Prognostic Performance</w:t>
      </w:r>
    </w:p>
    <w:p w14:paraId="13E9A647" w14:textId="77777777" w:rsidR="00FA6E3D" w:rsidRPr="00FA6E3D" w:rsidRDefault="00FA6E3D" w:rsidP="00FA6E3D">
      <w:pPr>
        <w:spacing w:line="360" w:lineRule="auto"/>
        <w:jc w:val="both"/>
        <w:rPr>
          <w:rFonts w:ascii="Times New Roman" w:hAnsi="Times New Roman" w:cs="Times New Roman"/>
          <w:sz w:val="24"/>
          <w:szCs w:val="24"/>
        </w:rPr>
      </w:pPr>
    </w:p>
    <w:p w14:paraId="059CB755"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lastRenderedPageBreak/>
        <w:t>AI’s primary strength in medical imaging lies in its ability to process vast amounts of data rapidly and to uncover subtle patterns that may elude even experienced clinicians. In cancer imaging, this translates to improved detection of small lesions, more accurate tumor segmentation, and enhanced risk stratification. Several studies have shown that AI assistance can reduce inter-reader variability and improve diagnostic consistency across institutions [7,8].</w:t>
      </w:r>
    </w:p>
    <w:p w14:paraId="6831DA92" w14:textId="77777777" w:rsidR="00FA6E3D" w:rsidRPr="00FA6E3D" w:rsidRDefault="00FA6E3D" w:rsidP="00FA6E3D">
      <w:pPr>
        <w:spacing w:line="360" w:lineRule="auto"/>
        <w:jc w:val="both"/>
        <w:rPr>
          <w:rFonts w:ascii="Times New Roman" w:hAnsi="Times New Roman" w:cs="Times New Roman"/>
          <w:sz w:val="24"/>
          <w:szCs w:val="24"/>
        </w:rPr>
      </w:pPr>
    </w:p>
    <w:p w14:paraId="5B9AF0B3"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t>Moreover, AI-based prognostic models that integrate imaging features (radiomics) with clinical and genomic data are being developed to predict outcomes such as treatment response and survival [9,10]. This multi-modal approach has the potential to advance personalized medicine and optimize therapeutic decision-making.</w:t>
      </w:r>
    </w:p>
    <w:p w14:paraId="6210DED0" w14:textId="77777777" w:rsidR="00FA6E3D" w:rsidRPr="00FA6E3D" w:rsidRDefault="00FA6E3D" w:rsidP="00FA6E3D">
      <w:pPr>
        <w:spacing w:line="360" w:lineRule="auto"/>
        <w:jc w:val="both"/>
        <w:rPr>
          <w:rFonts w:ascii="Times New Roman" w:hAnsi="Times New Roman" w:cs="Times New Roman"/>
          <w:sz w:val="24"/>
          <w:szCs w:val="24"/>
        </w:rPr>
      </w:pPr>
    </w:p>
    <w:p w14:paraId="3C40BEF5"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t>#### Workflow Efficiency</w:t>
      </w:r>
    </w:p>
    <w:p w14:paraId="1AEA9E57" w14:textId="77777777" w:rsidR="00FA6E3D" w:rsidRPr="00FA6E3D" w:rsidRDefault="00FA6E3D" w:rsidP="00FA6E3D">
      <w:pPr>
        <w:spacing w:line="360" w:lineRule="auto"/>
        <w:jc w:val="both"/>
        <w:rPr>
          <w:rFonts w:ascii="Times New Roman" w:hAnsi="Times New Roman" w:cs="Times New Roman"/>
          <w:sz w:val="24"/>
          <w:szCs w:val="24"/>
        </w:rPr>
      </w:pPr>
    </w:p>
    <w:p w14:paraId="35C92135"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t>AI also offers the potential to streamline radiology workflows by automating routine image analysis tasks, prioritizing urgent cases, and assisting with reporting. This can help address radiologist shortages and reduce burnout, especially in resource-limited settings [11]. Automated triage and quality control tools are beginning to see clinical adoption, further demonstrating AI's practical value [12].</w:t>
      </w:r>
    </w:p>
    <w:p w14:paraId="000BD18A" w14:textId="77777777" w:rsidR="00FA6E3D" w:rsidRPr="00FA6E3D" w:rsidRDefault="00FA6E3D" w:rsidP="00FA6E3D">
      <w:pPr>
        <w:spacing w:line="360" w:lineRule="auto"/>
        <w:jc w:val="both"/>
        <w:rPr>
          <w:rFonts w:ascii="Times New Roman" w:hAnsi="Times New Roman" w:cs="Times New Roman"/>
          <w:sz w:val="24"/>
          <w:szCs w:val="24"/>
        </w:rPr>
      </w:pPr>
    </w:p>
    <w:p w14:paraId="60724218"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t>### Limitations and Challenges</w:t>
      </w:r>
    </w:p>
    <w:p w14:paraId="1A5E7DF2" w14:textId="77777777" w:rsidR="00FA6E3D" w:rsidRPr="00FA6E3D" w:rsidRDefault="00FA6E3D" w:rsidP="00FA6E3D">
      <w:pPr>
        <w:spacing w:line="360" w:lineRule="auto"/>
        <w:jc w:val="both"/>
        <w:rPr>
          <w:rFonts w:ascii="Times New Roman" w:hAnsi="Times New Roman" w:cs="Times New Roman"/>
          <w:sz w:val="24"/>
          <w:szCs w:val="24"/>
        </w:rPr>
      </w:pPr>
    </w:p>
    <w:p w14:paraId="36126B41"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t>#### Heterogeneity and Bias</w:t>
      </w:r>
    </w:p>
    <w:p w14:paraId="7BA97B3F" w14:textId="77777777" w:rsidR="00FA6E3D" w:rsidRPr="00FA6E3D" w:rsidRDefault="00FA6E3D" w:rsidP="00FA6E3D">
      <w:pPr>
        <w:spacing w:line="360" w:lineRule="auto"/>
        <w:jc w:val="both"/>
        <w:rPr>
          <w:rFonts w:ascii="Times New Roman" w:hAnsi="Times New Roman" w:cs="Times New Roman"/>
          <w:sz w:val="24"/>
          <w:szCs w:val="24"/>
        </w:rPr>
      </w:pPr>
    </w:p>
    <w:p w14:paraId="2FEA0989"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t>Despite these advances, our review identified significant heterogeneity in study designs, patient populations, imaging protocols, and AI methods. This variability complicates direct comparisons and the aggregation of results across meta-analyses. Many studies are retrospective, single-center, and use non-standardized datasets, raising concerns about selection bias and overfitting [13,14].</w:t>
      </w:r>
    </w:p>
    <w:p w14:paraId="407CAB1B" w14:textId="77777777" w:rsidR="00FA6E3D" w:rsidRPr="00FA6E3D" w:rsidRDefault="00FA6E3D" w:rsidP="00FA6E3D">
      <w:pPr>
        <w:spacing w:line="360" w:lineRule="auto"/>
        <w:jc w:val="both"/>
        <w:rPr>
          <w:rFonts w:ascii="Times New Roman" w:hAnsi="Times New Roman" w:cs="Times New Roman"/>
          <w:sz w:val="24"/>
          <w:szCs w:val="24"/>
        </w:rPr>
      </w:pPr>
    </w:p>
    <w:p w14:paraId="09BCF896"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lastRenderedPageBreak/>
        <w:t>Furthermore, the lack of external validation remains a major barrier to clinical translation. While AI models may perform well on internal or public challenge datasets, their accuracy can drop significantly when applied to external, real-world data [15]. This is due to differences in image acquisition, population demographics, and disease prevalence.</w:t>
      </w:r>
    </w:p>
    <w:p w14:paraId="31995ACD" w14:textId="77777777" w:rsidR="00FA6E3D" w:rsidRPr="00FA6E3D" w:rsidRDefault="00FA6E3D" w:rsidP="00FA6E3D">
      <w:pPr>
        <w:spacing w:line="360" w:lineRule="auto"/>
        <w:jc w:val="both"/>
        <w:rPr>
          <w:rFonts w:ascii="Times New Roman" w:hAnsi="Times New Roman" w:cs="Times New Roman"/>
          <w:sz w:val="24"/>
          <w:szCs w:val="24"/>
        </w:rPr>
      </w:pPr>
    </w:p>
    <w:p w14:paraId="633D28D0"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t>#### Reporting Standards and Reproducibility</w:t>
      </w:r>
    </w:p>
    <w:p w14:paraId="3C539233" w14:textId="77777777" w:rsidR="00FA6E3D" w:rsidRPr="00FA6E3D" w:rsidRDefault="00FA6E3D" w:rsidP="00FA6E3D">
      <w:pPr>
        <w:spacing w:line="360" w:lineRule="auto"/>
        <w:jc w:val="both"/>
        <w:rPr>
          <w:rFonts w:ascii="Times New Roman" w:hAnsi="Times New Roman" w:cs="Times New Roman"/>
          <w:sz w:val="24"/>
          <w:szCs w:val="24"/>
        </w:rPr>
      </w:pPr>
    </w:p>
    <w:p w14:paraId="6D1C71CF"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t>The field suffers from inconsistent reporting of model development, training, validation, and performance metrics. Initiatives such as TRIPOD-AI and CLAIM are beginning to address this by promoting transparent, reproducible reporting standards [16,17]. However, adherence remains variable, and many published studies do not provide sufficient detail to allow independent replication or assessment of clinical applicability.</w:t>
      </w:r>
    </w:p>
    <w:p w14:paraId="774716BF" w14:textId="77777777" w:rsidR="00FA6E3D" w:rsidRPr="00FA6E3D" w:rsidRDefault="00FA6E3D" w:rsidP="00FA6E3D">
      <w:pPr>
        <w:spacing w:line="360" w:lineRule="auto"/>
        <w:jc w:val="both"/>
        <w:rPr>
          <w:rFonts w:ascii="Times New Roman" w:hAnsi="Times New Roman" w:cs="Times New Roman"/>
          <w:sz w:val="24"/>
          <w:szCs w:val="24"/>
        </w:rPr>
      </w:pPr>
    </w:p>
    <w:p w14:paraId="7D4083A9"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t>#### Explainability and Clinical Trust</w:t>
      </w:r>
    </w:p>
    <w:p w14:paraId="2F07E85A" w14:textId="77777777" w:rsidR="00FA6E3D" w:rsidRPr="00FA6E3D" w:rsidRDefault="00FA6E3D" w:rsidP="00FA6E3D">
      <w:pPr>
        <w:spacing w:line="360" w:lineRule="auto"/>
        <w:jc w:val="both"/>
        <w:rPr>
          <w:rFonts w:ascii="Times New Roman" w:hAnsi="Times New Roman" w:cs="Times New Roman"/>
          <w:sz w:val="24"/>
          <w:szCs w:val="24"/>
        </w:rPr>
      </w:pPr>
    </w:p>
    <w:p w14:paraId="5D698535"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t>Another critical issue is the "black box" nature of many AI algorithms, especially deep learning models. Clinicians and regulatory bodies often require insights into the decision-making logic of AI systems before trusting them in high-stakes clinical settings [18]. Work on interpretable AI, saliency mapping, and uncertainty quantification is ongoing but not yet routinely incorporated into published studies.</w:t>
      </w:r>
    </w:p>
    <w:p w14:paraId="34282B28" w14:textId="77777777" w:rsidR="00FA6E3D" w:rsidRPr="00FA6E3D" w:rsidRDefault="00FA6E3D" w:rsidP="00FA6E3D">
      <w:pPr>
        <w:spacing w:line="360" w:lineRule="auto"/>
        <w:jc w:val="both"/>
        <w:rPr>
          <w:rFonts w:ascii="Times New Roman" w:hAnsi="Times New Roman" w:cs="Times New Roman"/>
          <w:sz w:val="24"/>
          <w:szCs w:val="24"/>
        </w:rPr>
      </w:pPr>
    </w:p>
    <w:p w14:paraId="040C5C66"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t>#### Regulatory and Ethical Considerations</w:t>
      </w:r>
    </w:p>
    <w:p w14:paraId="694177BD" w14:textId="77777777" w:rsidR="00FA6E3D" w:rsidRPr="00FA6E3D" w:rsidRDefault="00FA6E3D" w:rsidP="00FA6E3D">
      <w:pPr>
        <w:spacing w:line="360" w:lineRule="auto"/>
        <w:jc w:val="both"/>
        <w:rPr>
          <w:rFonts w:ascii="Times New Roman" w:hAnsi="Times New Roman" w:cs="Times New Roman"/>
          <w:sz w:val="24"/>
          <w:szCs w:val="24"/>
        </w:rPr>
      </w:pPr>
    </w:p>
    <w:p w14:paraId="0F9B80D4"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t>AI deployment in clinical practice is also contingent on regulatory approval, data privacy compliance, and robust post-marketing surveillance. Prospective, multi-center trials are needed to establish real-world effectiveness and safety. Ethical concerns regarding data ownership, patient consent, and algorithmic bias must be proactively addressed to ensure equitable benefits from AI advancements [19,20].</w:t>
      </w:r>
    </w:p>
    <w:p w14:paraId="5BA9FF75" w14:textId="77777777" w:rsidR="00FA6E3D" w:rsidRPr="00FA6E3D" w:rsidRDefault="00FA6E3D" w:rsidP="00FA6E3D">
      <w:pPr>
        <w:spacing w:line="360" w:lineRule="auto"/>
        <w:jc w:val="both"/>
        <w:rPr>
          <w:rFonts w:ascii="Times New Roman" w:hAnsi="Times New Roman" w:cs="Times New Roman"/>
          <w:sz w:val="24"/>
          <w:szCs w:val="24"/>
        </w:rPr>
      </w:pPr>
    </w:p>
    <w:p w14:paraId="23BA1F6C"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lastRenderedPageBreak/>
        <w:t>### Comparison with Related Reviews</w:t>
      </w:r>
    </w:p>
    <w:p w14:paraId="365425A3" w14:textId="77777777" w:rsidR="00FA6E3D" w:rsidRPr="00FA6E3D" w:rsidRDefault="00FA6E3D" w:rsidP="00FA6E3D">
      <w:pPr>
        <w:spacing w:line="360" w:lineRule="auto"/>
        <w:jc w:val="both"/>
        <w:rPr>
          <w:rFonts w:ascii="Times New Roman" w:hAnsi="Times New Roman" w:cs="Times New Roman"/>
          <w:sz w:val="24"/>
          <w:szCs w:val="24"/>
        </w:rPr>
      </w:pPr>
    </w:p>
    <w:p w14:paraId="5534A8EB"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t>Our findings align with recent large-scale reviews and consensus statements. For instance, Nagendran et al. (2019) and Liu et al. (2019) both caution that while AI holds considerable promise, many studies overestimate performance due to methodological flaws and lack of appropriate validation [1,21]. A meta-analysis by Ardila et al. (2020) found that deep learning models for lung cancer detection on CT scans achieved high accuracy but highlighted the need for prospective, diverse datasets [22].</w:t>
      </w:r>
    </w:p>
    <w:p w14:paraId="60411CE1" w14:textId="77777777" w:rsidR="00FA6E3D" w:rsidRPr="00FA6E3D" w:rsidRDefault="00FA6E3D" w:rsidP="00FA6E3D">
      <w:pPr>
        <w:spacing w:line="360" w:lineRule="auto"/>
        <w:jc w:val="both"/>
        <w:rPr>
          <w:rFonts w:ascii="Times New Roman" w:hAnsi="Times New Roman" w:cs="Times New Roman"/>
          <w:sz w:val="24"/>
          <w:szCs w:val="24"/>
        </w:rPr>
      </w:pPr>
    </w:p>
    <w:p w14:paraId="3CFDD7F4"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t>In breast imaging, McKinney et al. (2020) reported that an AI system outperformed radiologists in cancer detection, but generalizability concerns remain due to dataset homogeneity [4]. Similarly, studies in prostate MRI emphasize the importance of external validation and integration into clinical workflows for AI tools to achieve meaningful impact [6,23].</w:t>
      </w:r>
    </w:p>
    <w:p w14:paraId="71527AE9" w14:textId="77777777" w:rsidR="00FA6E3D" w:rsidRPr="00FA6E3D" w:rsidRDefault="00FA6E3D" w:rsidP="00FA6E3D">
      <w:pPr>
        <w:spacing w:line="360" w:lineRule="auto"/>
        <w:jc w:val="both"/>
        <w:rPr>
          <w:rFonts w:ascii="Times New Roman" w:hAnsi="Times New Roman" w:cs="Times New Roman"/>
          <w:sz w:val="24"/>
          <w:szCs w:val="24"/>
        </w:rPr>
      </w:pPr>
    </w:p>
    <w:p w14:paraId="04424398"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t>### Future Directions</w:t>
      </w:r>
    </w:p>
    <w:p w14:paraId="7D27D6F0" w14:textId="77777777" w:rsidR="00FA6E3D" w:rsidRPr="00FA6E3D" w:rsidRDefault="00FA6E3D" w:rsidP="00FA6E3D">
      <w:pPr>
        <w:spacing w:line="360" w:lineRule="auto"/>
        <w:jc w:val="both"/>
        <w:rPr>
          <w:rFonts w:ascii="Times New Roman" w:hAnsi="Times New Roman" w:cs="Times New Roman"/>
          <w:sz w:val="24"/>
          <w:szCs w:val="24"/>
        </w:rPr>
      </w:pPr>
    </w:p>
    <w:p w14:paraId="7C6DA248"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t>#### Standardization and Collaboration</w:t>
      </w:r>
    </w:p>
    <w:p w14:paraId="14F78FFB" w14:textId="77777777" w:rsidR="00FA6E3D" w:rsidRPr="00FA6E3D" w:rsidRDefault="00FA6E3D" w:rsidP="00FA6E3D">
      <w:pPr>
        <w:spacing w:line="360" w:lineRule="auto"/>
        <w:jc w:val="both"/>
        <w:rPr>
          <w:rFonts w:ascii="Times New Roman" w:hAnsi="Times New Roman" w:cs="Times New Roman"/>
          <w:sz w:val="24"/>
          <w:szCs w:val="24"/>
        </w:rPr>
      </w:pPr>
    </w:p>
    <w:p w14:paraId="785B5258"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t>To advance the field, there is a pressing need for standardized datasets, uniform reporting guidelines, and collaborative multi-institutional studies. Publicly available annotated datasets and open-source benchmarks can facilitate fair model comparison and foster innovation [24]. International consortia and regulatory agencies should work together to establish best practices for AI validation, monitoring, and updating.</w:t>
      </w:r>
    </w:p>
    <w:p w14:paraId="6272E2B7" w14:textId="77777777" w:rsidR="00FA6E3D" w:rsidRPr="00FA6E3D" w:rsidRDefault="00FA6E3D" w:rsidP="00FA6E3D">
      <w:pPr>
        <w:spacing w:line="360" w:lineRule="auto"/>
        <w:jc w:val="both"/>
        <w:rPr>
          <w:rFonts w:ascii="Times New Roman" w:hAnsi="Times New Roman" w:cs="Times New Roman"/>
          <w:sz w:val="24"/>
          <w:szCs w:val="24"/>
        </w:rPr>
      </w:pPr>
    </w:p>
    <w:p w14:paraId="6C708448"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t>#### Prospective Trials and Real-World Evidence</w:t>
      </w:r>
    </w:p>
    <w:p w14:paraId="338FBD63" w14:textId="77777777" w:rsidR="00FA6E3D" w:rsidRPr="00FA6E3D" w:rsidRDefault="00FA6E3D" w:rsidP="00FA6E3D">
      <w:pPr>
        <w:spacing w:line="360" w:lineRule="auto"/>
        <w:jc w:val="both"/>
        <w:rPr>
          <w:rFonts w:ascii="Times New Roman" w:hAnsi="Times New Roman" w:cs="Times New Roman"/>
          <w:sz w:val="24"/>
          <w:szCs w:val="24"/>
        </w:rPr>
      </w:pPr>
    </w:p>
    <w:p w14:paraId="2C6142ED"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t>Future research should prioritize prospective, randomized, and multi-center clinical trials to evaluate AI interventions in real-world clinical environments. Integration of AI tools with electronic health records and workflow systems will enable large-scale, longitudinal studies to assess impact on diagnostic accuracy, patient outcomes, and healthcare efficiency [25].</w:t>
      </w:r>
    </w:p>
    <w:p w14:paraId="2A514E46" w14:textId="77777777" w:rsidR="00FA6E3D" w:rsidRPr="00FA6E3D" w:rsidRDefault="00FA6E3D" w:rsidP="00FA6E3D">
      <w:pPr>
        <w:spacing w:line="360" w:lineRule="auto"/>
        <w:jc w:val="both"/>
        <w:rPr>
          <w:rFonts w:ascii="Times New Roman" w:hAnsi="Times New Roman" w:cs="Times New Roman"/>
          <w:sz w:val="24"/>
          <w:szCs w:val="24"/>
        </w:rPr>
      </w:pPr>
    </w:p>
    <w:p w14:paraId="0C34948C"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t>#### Explainability and Human-AI Collaboration</w:t>
      </w:r>
    </w:p>
    <w:p w14:paraId="58336C6A" w14:textId="77777777" w:rsidR="00FA6E3D" w:rsidRPr="00FA6E3D" w:rsidRDefault="00FA6E3D" w:rsidP="00FA6E3D">
      <w:pPr>
        <w:spacing w:line="360" w:lineRule="auto"/>
        <w:jc w:val="both"/>
        <w:rPr>
          <w:rFonts w:ascii="Times New Roman" w:hAnsi="Times New Roman" w:cs="Times New Roman"/>
          <w:sz w:val="24"/>
          <w:szCs w:val="24"/>
        </w:rPr>
      </w:pPr>
    </w:p>
    <w:p w14:paraId="47D30921"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t>Developing interpretable AI models and effective human-AI collaboration frameworks will be essential for clinician acceptance and patient safety. Research into explainable AI, user interface design, and training for radiologists will support the safe and effective adoption of these technologies [26].</w:t>
      </w:r>
    </w:p>
    <w:p w14:paraId="0612230A" w14:textId="77777777" w:rsidR="00FA6E3D" w:rsidRPr="00FA6E3D" w:rsidRDefault="00FA6E3D" w:rsidP="00FA6E3D">
      <w:pPr>
        <w:spacing w:line="360" w:lineRule="auto"/>
        <w:jc w:val="both"/>
        <w:rPr>
          <w:rFonts w:ascii="Times New Roman" w:hAnsi="Times New Roman" w:cs="Times New Roman"/>
          <w:sz w:val="24"/>
          <w:szCs w:val="24"/>
        </w:rPr>
      </w:pPr>
    </w:p>
    <w:p w14:paraId="00D6E744"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t>### Limitations of This Review</w:t>
      </w:r>
    </w:p>
    <w:p w14:paraId="4F72CAC2" w14:textId="77777777" w:rsidR="00FA6E3D" w:rsidRPr="00FA6E3D" w:rsidRDefault="00FA6E3D" w:rsidP="00FA6E3D">
      <w:pPr>
        <w:spacing w:line="360" w:lineRule="auto"/>
        <w:jc w:val="both"/>
        <w:rPr>
          <w:rFonts w:ascii="Times New Roman" w:hAnsi="Times New Roman" w:cs="Times New Roman"/>
          <w:sz w:val="24"/>
          <w:szCs w:val="24"/>
        </w:rPr>
      </w:pPr>
    </w:p>
    <w:p w14:paraId="01D95105"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t>This umbrella review is subject to several limitations. The included meta-analyses may themselves be affected by publication bias, selective reporting, and heterogeneity. Our synthesis could not always account for the methodological quality of primary studies or the potential overlap between reviews. Additionally, rapid developments in the field mean that new evidence may quickly supersede current findings.</w:t>
      </w:r>
    </w:p>
    <w:p w14:paraId="0905D1E9" w14:textId="77777777" w:rsidR="00FA6E3D" w:rsidRPr="00FA6E3D" w:rsidRDefault="00FA6E3D" w:rsidP="00FA6E3D">
      <w:pPr>
        <w:spacing w:line="360" w:lineRule="auto"/>
        <w:jc w:val="both"/>
        <w:rPr>
          <w:rFonts w:ascii="Times New Roman" w:hAnsi="Times New Roman" w:cs="Times New Roman"/>
          <w:sz w:val="24"/>
          <w:szCs w:val="24"/>
        </w:rPr>
      </w:pPr>
    </w:p>
    <w:p w14:paraId="3F5287C0"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t>### Conclusion</w:t>
      </w:r>
    </w:p>
    <w:p w14:paraId="5C2EB2BF" w14:textId="77777777" w:rsidR="00FA6E3D" w:rsidRPr="00FA6E3D" w:rsidRDefault="00FA6E3D" w:rsidP="00FA6E3D">
      <w:pPr>
        <w:spacing w:line="360" w:lineRule="auto"/>
        <w:jc w:val="both"/>
        <w:rPr>
          <w:rFonts w:ascii="Times New Roman" w:hAnsi="Times New Roman" w:cs="Times New Roman"/>
          <w:sz w:val="24"/>
          <w:szCs w:val="24"/>
        </w:rPr>
      </w:pPr>
    </w:p>
    <w:p w14:paraId="068C2A6C"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t>In summary, AI in medical imaging for cancer has reached a level of research maturity characterized by a proliferation of meta-analyses and systematic reviews. While diagnostic and prognostic performance is promising, significant methodological, translational, and ethical challenges remain. Addressing these will require coordinated efforts across academia, industry, and clinical practice to ensure that AI fulfills its potential to improve cancer care globally.</w:t>
      </w:r>
    </w:p>
    <w:p w14:paraId="4A442D54" w14:textId="77777777" w:rsidR="00FA6E3D" w:rsidRPr="00FA6E3D" w:rsidRDefault="00FA6E3D" w:rsidP="00FA6E3D">
      <w:pPr>
        <w:spacing w:line="360" w:lineRule="auto"/>
        <w:jc w:val="both"/>
        <w:rPr>
          <w:rFonts w:ascii="Times New Roman" w:hAnsi="Times New Roman" w:cs="Times New Roman"/>
          <w:sz w:val="24"/>
          <w:szCs w:val="24"/>
        </w:rPr>
      </w:pPr>
    </w:p>
    <w:p w14:paraId="348BBCEB"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t>---</w:t>
      </w:r>
    </w:p>
    <w:p w14:paraId="6FDB4F32" w14:textId="77777777" w:rsidR="00FA6E3D" w:rsidRPr="00FA6E3D" w:rsidRDefault="00FA6E3D" w:rsidP="00FA6E3D">
      <w:pPr>
        <w:spacing w:line="360" w:lineRule="auto"/>
        <w:jc w:val="both"/>
        <w:rPr>
          <w:rFonts w:ascii="Times New Roman" w:hAnsi="Times New Roman" w:cs="Times New Roman"/>
          <w:sz w:val="24"/>
          <w:szCs w:val="24"/>
        </w:rPr>
      </w:pPr>
    </w:p>
    <w:p w14:paraId="4B7A2A79"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t>### References</w:t>
      </w:r>
    </w:p>
    <w:p w14:paraId="28BC40CC" w14:textId="77777777" w:rsidR="00FA6E3D" w:rsidRPr="00FA6E3D" w:rsidRDefault="00FA6E3D" w:rsidP="00FA6E3D">
      <w:pPr>
        <w:spacing w:line="360" w:lineRule="auto"/>
        <w:jc w:val="both"/>
        <w:rPr>
          <w:rFonts w:ascii="Times New Roman" w:hAnsi="Times New Roman" w:cs="Times New Roman"/>
          <w:sz w:val="24"/>
          <w:szCs w:val="24"/>
        </w:rPr>
      </w:pPr>
    </w:p>
    <w:p w14:paraId="590E879B"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lastRenderedPageBreak/>
        <w:t>1. Nagendran M, Chen Y, Lovejoy CA, et al. Artificial intelligence versus clinicians: systematic review of design, reporting standards, and claims of deep learning studies. BMJ. 2019;368:m689.</w:t>
      </w:r>
    </w:p>
    <w:p w14:paraId="1D7539AD"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t>2. Liu X, Faes L, Kale AU, et al. A comparison of deep learning performance against health-care professionals in detecting diseases from medical imaging: a systematic review and meta-analysis. The Lancet Digital Health. 2019;1(6):e271-e297.</w:t>
      </w:r>
    </w:p>
    <w:p w14:paraId="353258B2"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t>3. Kim HE, Kim HH, Han BK, et al. Changes in cancer detection and false-positive recall in mammography using artificial intelligence: a retrospective, multi-reader study. The Lancet Digital Health. 2020;2(3):e138-e148.</w:t>
      </w:r>
    </w:p>
    <w:p w14:paraId="67817D01"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t>4. McKinney SM, Sieniek M, Godbole V, et al. International evaluation of an AI system for breast cancer screening. Nature. 2020;577(7788):89-94.</w:t>
      </w:r>
    </w:p>
    <w:p w14:paraId="6DA56F1F"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t>5. Ardila D, Kiraly AP, Bharadwaj S, et al. End-to-end lung cancer screening with three-dimensional deep learning on low-dose chest computed tomography. Nature Medicine. 2019;25(6):954-961.</w:t>
      </w:r>
    </w:p>
    <w:p w14:paraId="7EA4D758"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t>6. Hosny A, Parmar C, Quackenbush J, Schwartz LH, Aerts HJWL. Artificial intelligence in radiology. Nature Reviews Cancer. 2018;18:500-510.</w:t>
      </w:r>
    </w:p>
    <w:p w14:paraId="14E63824"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t>7. Rajpurkar P, Irvin J, Ball RL, et al. Deep learning for chest radiograph diagnosis: A retrospective comparison of the CheXNeXt algorithm to practicing radiologists. PLoS Medicine. 2018;15(11):e1002686.</w:t>
      </w:r>
    </w:p>
    <w:p w14:paraId="5F048994"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t>8. Tschandl P, Codella N, Akay BN, et al. Comparison of the accuracy of human readers versus machine-learning algorithms for pigmented skin lesion classification: an open, web-based, international, diagnostic study. The Lancet Oncology. 2019;20(7):938-947.</w:t>
      </w:r>
    </w:p>
    <w:p w14:paraId="4C1EDE10"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t>9. Lambin P, Rios-Velazquez E, Leijenaar R, et al. Radiomics: extracting more information from medical images using advanced feature analysis. European Journal of Cancer. 2012;48(4):441-446.</w:t>
      </w:r>
    </w:p>
    <w:p w14:paraId="5739E9D9"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t>10. Kickingereder P, Burth S, Wick A, et al. Radiomic profiling of glioblastoma: identifying an imaging predictor of patient survival with improved performance over established clinical and radiologic risk models. Radiology. 2016;280(3):880-889.</w:t>
      </w:r>
    </w:p>
    <w:p w14:paraId="63CD0218"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t>11. Wang F, Casalino LP, Khullar D. Deep Learning in Medicine—Promise, Progress, and Challenges. JAMA Internal Medicine. 2019;179(3):293-294.</w:t>
      </w:r>
    </w:p>
    <w:p w14:paraId="4AD651DF"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t>12. Dreyer KJ, Geis JR. When Machines Think: Radiology’s Next Frontier. Radiology. 2017;285(3):713-718.</w:t>
      </w:r>
    </w:p>
    <w:p w14:paraId="1B0FBB38"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lastRenderedPageBreak/>
        <w:t>13. Kelly CJ, Karthikesalingam A, Suleyman M, Corrado G, King D. Key challenges for delivering clinical impact with artificial intelligence. BMC Medicine. 2019;17(1):195.</w:t>
      </w:r>
    </w:p>
    <w:p w14:paraId="458E19B4"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t>14. Roberts M, Driggs D, Thorpe M, et al. Common pitfalls and recommendations for using machine learning to detect and prognosticate for COVID-19 using chest radiographs and CT scans. Nature Machine Intelligence. 2021;3:199-217.</w:t>
      </w:r>
    </w:p>
    <w:p w14:paraId="777CD75E"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t>15. Zech JR, Badgeley MA, Liu M, et al. Variable generalization performance of a deep learning model to detect pneumonia in chest radiographs: A cross-sectional study. PLoS Medicine. 2018;15(11):e1002683.</w:t>
      </w:r>
    </w:p>
    <w:p w14:paraId="0B5F2E35"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t>16. Collins GS, Moons KGM. Reporting of artificial intelligence prediction models. The TRIPOD-AI and PROBAST-AI initiatives. JAMA. 2022;327(7):627-628.</w:t>
      </w:r>
    </w:p>
    <w:p w14:paraId="5D7C60DF"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t>17. Mongan J, Moy L, Kahn CE Jr. Checklist for Artificial Intelligence in Medical Imaging (CLAIM): A Guide for Authors and Reviewers. Radiology: Artificial Intelligence. 2020;2(2):e200029.</w:t>
      </w:r>
    </w:p>
    <w:p w14:paraId="079D3F01"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t>18. Samek W, Montavon G, Vedaldi A, Hansen LK, Müller KR (eds). Explainable AI: Interpreting, Explaining and Visualizing Deep Learning. Springer; 2019.</w:t>
      </w:r>
    </w:p>
    <w:p w14:paraId="3686C3BC"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t>19. Gerke S, Minssen T, Cohen G. Ethical and legal challenges of artificial intelligence-driven healthcare. In: Artificial Intelligence in Healthcare. Elsevier; 2020:295-336.</w:t>
      </w:r>
    </w:p>
    <w:p w14:paraId="6B0FC9E1"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t>20. Char DS, Shah NH, Magnus D. Implementing Machine Learning in Health Care—Addressing Ethical Challenges. The New England Journal of Medicine. 2018;378(11):981-983.</w:t>
      </w:r>
    </w:p>
    <w:p w14:paraId="57C09A9F"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t>21. Liu Y, Chen PHC, Krause J, Peng L. How to Read Articles That Use Machine Learning: Users’ Guides to the Medical Literature. JAMA. 2019;322(18):1806-1816.</w:t>
      </w:r>
    </w:p>
    <w:p w14:paraId="12F8B688"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t>22. Ardila D, et al. (2020). End-to-end lung cancer screening with three-dimensional deep learning on low-dose chest computed tomography. Nature Medicine. 25(6):954-961.</w:t>
      </w:r>
    </w:p>
    <w:p w14:paraId="6A7F410B"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t>23. Mehralivand S, Shih JH, Harmon S, et al. Artificial intelligence for prostate cancer detection on MRI: a systematic review and meta-analysis. European Urology. 2021;80(6):578-589.</w:t>
      </w:r>
    </w:p>
    <w:p w14:paraId="2EEF2155"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t>24. Maier-Hein L, Eisenmann M, Reinke A, et al. Why rankings of biomedical image analysis competitions should be interpreted with care. Nature Communications. 2018;9:5217.</w:t>
      </w:r>
    </w:p>
    <w:p w14:paraId="26DE87A8" w14:textId="77777777" w:rsidR="00FA6E3D"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t>25. Topol EJ. High-performance medicine: the convergence of human and artificial intelligence. Nature Medicine. 2019;25(1):44-56.</w:t>
      </w:r>
    </w:p>
    <w:p w14:paraId="4966CE96" w14:textId="42070056" w:rsidR="002C70FC" w:rsidRPr="00FA6E3D" w:rsidRDefault="00FA6E3D" w:rsidP="00FA6E3D">
      <w:pPr>
        <w:spacing w:line="360" w:lineRule="auto"/>
        <w:jc w:val="both"/>
        <w:rPr>
          <w:rFonts w:ascii="Times New Roman" w:hAnsi="Times New Roman" w:cs="Times New Roman"/>
          <w:sz w:val="24"/>
          <w:szCs w:val="24"/>
        </w:rPr>
      </w:pPr>
      <w:r w:rsidRPr="00FA6E3D">
        <w:rPr>
          <w:rFonts w:ascii="Times New Roman" w:hAnsi="Times New Roman" w:cs="Times New Roman"/>
          <w:sz w:val="24"/>
          <w:szCs w:val="24"/>
        </w:rPr>
        <w:lastRenderedPageBreak/>
        <w:t>26. Holzinger A, Langs G, Denk H, Zatloukal K, Müller H. Causability and explainability of artificial intelligence in medicine. Wiley Interdisciplinary Reviews: Data Mining and Knowledge Discovery. 2019;9(4):e1312.</w:t>
      </w:r>
    </w:p>
    <w:sectPr w:rsidR="002C70FC" w:rsidRPr="00FA6E3D">
      <w:pgSz w:w="11906" w:h="16838"/>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E3D"/>
    <w:rsid w:val="002C70FC"/>
    <w:rsid w:val="00FA6E3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22CBE"/>
  <w15:chartTrackingRefBased/>
  <w15:docId w15:val="{8FEA8611-9735-4491-93EE-DED82A62F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1915</Words>
  <Characters>10919</Characters>
  <Application>Microsoft Office Word</Application>
  <DocSecurity>0</DocSecurity>
  <Lines>90</Lines>
  <Paragraphs>25</Paragraphs>
  <ScaleCrop>false</ScaleCrop>
  <Company/>
  <LinksUpToDate>false</LinksUpToDate>
  <CharactersWithSpaces>12809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Jiregna Olani Kedida</dc:creator>
  <cp:keywords/>
  <dc:description/>
  <cp:lastModifiedBy>Jiregna Olani Kedida</cp:lastModifiedBy>
  <cp:revision>1</cp:revision>
  <dcterms:created xsi:type="dcterms:W3CDTF">2025-05-21T00:37:00Z</dcterms:created>
  <dcterms:modified xsi:type="dcterms:W3CDTF">2025-05-21T00:43:00Z</dcterms:modified>
</cp:coreProperties>
</file>