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98" w:rsidRDefault="00925298" w:rsidP="00925298">
      <w:pPr>
        <w:pStyle w:val="Nadpis1"/>
        <w:rPr>
          <w:color w:val="FF0000"/>
        </w:rPr>
      </w:pPr>
    </w:p>
    <w:p w:rsidR="00925298" w:rsidRDefault="00925298" w:rsidP="00925298">
      <w:pPr>
        <w:pStyle w:val="Nadpis1"/>
        <w:rPr>
          <w:color w:val="FF0000"/>
        </w:rPr>
      </w:pPr>
    </w:p>
    <w:p w:rsidR="00925298" w:rsidRDefault="00925298" w:rsidP="00925298">
      <w:pPr>
        <w:pStyle w:val="Nadpis1"/>
        <w:rPr>
          <w:color w:val="FF0000"/>
        </w:rPr>
      </w:pPr>
    </w:p>
    <w:p w:rsidR="00925298" w:rsidRDefault="00925298" w:rsidP="00925298">
      <w:pPr>
        <w:pStyle w:val="Nadpis1"/>
        <w:rPr>
          <w:color w:val="FF0000"/>
        </w:rPr>
      </w:pPr>
    </w:p>
    <w:p w:rsidR="00925298" w:rsidRDefault="00925298" w:rsidP="00925298">
      <w:pPr>
        <w:pStyle w:val="Nadpis1"/>
        <w:rPr>
          <w:color w:val="FF0000"/>
        </w:rPr>
      </w:pPr>
    </w:p>
    <w:p w:rsidR="00925298" w:rsidRDefault="00925298" w:rsidP="00925298">
      <w:pPr>
        <w:pStyle w:val="Nadpis1"/>
        <w:rPr>
          <w:color w:val="FF0000"/>
        </w:rPr>
      </w:pPr>
    </w:p>
    <w:p w:rsidR="00925298" w:rsidRPr="00480D80" w:rsidRDefault="00925298" w:rsidP="00925298">
      <w:pPr>
        <w:pStyle w:val="Nadpis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Semestální projekt</w:t>
      </w:r>
      <w:r>
        <w:rPr>
          <w:color w:val="auto"/>
          <w:sz w:val="44"/>
          <w:szCs w:val="44"/>
        </w:rPr>
        <w:t xml:space="preserve"> – </w:t>
      </w:r>
      <w:r>
        <w:rPr>
          <w:color w:val="auto"/>
          <w:sz w:val="44"/>
          <w:szCs w:val="44"/>
        </w:rPr>
        <w:t>Analýza regulačních systémů</w:t>
      </w: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color w:val="FF0000"/>
          <w:sz w:val="28"/>
          <w:szCs w:val="28"/>
        </w:rPr>
      </w:pPr>
    </w:p>
    <w:p w:rsidR="00925298" w:rsidRDefault="00925298" w:rsidP="00925298">
      <w:pPr>
        <w:pStyle w:val="Nadpis1"/>
        <w:rPr>
          <w:rFonts w:asciiTheme="minorHAnsi" w:hAnsiTheme="minorHAnsi" w:cstheme="minorHAnsi"/>
          <w:color w:val="auto"/>
          <w:sz w:val="28"/>
          <w:szCs w:val="28"/>
        </w:rPr>
      </w:pPr>
    </w:p>
    <w:p w:rsidR="00F31804" w:rsidRDefault="00F31804" w:rsidP="00F31804"/>
    <w:p w:rsidR="00F31804" w:rsidRDefault="00F31804" w:rsidP="00F31804"/>
    <w:p w:rsidR="00F31804" w:rsidRPr="00F31804" w:rsidRDefault="00F31804" w:rsidP="00F31804"/>
    <w:p w:rsidR="00925298" w:rsidRPr="000D2F51" w:rsidRDefault="00925298" w:rsidP="00925298"/>
    <w:p w:rsidR="00925298" w:rsidRPr="00AE381D" w:rsidRDefault="00925298" w:rsidP="00925298">
      <w:pPr>
        <w:pStyle w:val="Nadpis1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r w:rsidRPr="00AE381D">
        <w:rPr>
          <w:rFonts w:asciiTheme="minorHAnsi" w:hAnsiTheme="minorHAnsi" w:cstheme="minorHAnsi"/>
          <w:color w:val="auto"/>
          <w:sz w:val="28"/>
          <w:szCs w:val="28"/>
        </w:rPr>
        <w:t>HAL 328</w:t>
      </w:r>
    </w:p>
    <w:p w:rsidR="00925298" w:rsidRDefault="00925298" w:rsidP="00925298">
      <w:pPr>
        <w:spacing w:after="0"/>
        <w:rPr>
          <w:sz w:val="28"/>
          <w:szCs w:val="28"/>
        </w:rPr>
      </w:pPr>
      <w:r w:rsidRPr="00AE381D">
        <w:rPr>
          <w:sz w:val="28"/>
          <w:szCs w:val="28"/>
        </w:rPr>
        <w:t>Jiří Halmazňa</w:t>
      </w:r>
    </w:p>
    <w:p w:rsidR="00E2388A" w:rsidRDefault="00925298" w:rsidP="00F31804">
      <w:pPr>
        <w:spacing w:after="0"/>
        <w:rPr>
          <w:b/>
          <w:color w:val="2F5496" w:themeColor="accent5" w:themeShade="BF"/>
        </w:rPr>
      </w:pPr>
      <w:proofErr w:type="gramStart"/>
      <w:r>
        <w:rPr>
          <w:sz w:val="28"/>
          <w:szCs w:val="28"/>
        </w:rPr>
        <w:t>12.1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.2021</w:t>
      </w:r>
      <w:proofErr w:type="gramEnd"/>
      <w:r w:rsidR="00E2388A">
        <w:rPr>
          <w:b/>
          <w:color w:val="2F5496" w:themeColor="accent5" w:themeShade="BF"/>
        </w:rPr>
        <w:br w:type="page"/>
      </w:r>
    </w:p>
    <w:p w:rsidR="00F87987" w:rsidRPr="000F5CF2" w:rsidRDefault="00F87987" w:rsidP="00F87987">
      <w:pPr>
        <w:rPr>
          <w:b/>
          <w:color w:val="2F5496" w:themeColor="accent5" w:themeShade="BF"/>
        </w:rPr>
      </w:pPr>
      <w:r w:rsidRPr="000F5CF2">
        <w:rPr>
          <w:b/>
          <w:color w:val="2F5496" w:themeColor="accent5" w:themeShade="BF"/>
        </w:rPr>
        <w:lastRenderedPageBreak/>
        <w:t>Ad A)</w:t>
      </w:r>
    </w:p>
    <w:p w:rsidR="00F87987" w:rsidRPr="00F31CDC" w:rsidRDefault="00F87987" w:rsidP="00F87987">
      <w:pPr>
        <w:rPr>
          <w:i/>
        </w:rPr>
      </w:pPr>
      <w:r w:rsidRPr="00F31CDC">
        <w:rPr>
          <w:i/>
        </w:rPr>
        <w:t>Určete matice A, B, C, D pro Frobeniův kanonický tvar a Jordanův kanonický tvar. Ve vybraném simulačním softwaru (Simulink, SciLab) namodelujte vnitřní stavové schéma a vykreslete přechodovou charakteristiku.</w:t>
      </w:r>
    </w:p>
    <w:p w:rsidR="00F87987" w:rsidRDefault="00F87987" w:rsidP="00F87987"/>
    <w:p w:rsidR="00F87987" w:rsidRDefault="00F87987" w:rsidP="00F87987">
      <w:r>
        <w:t xml:space="preserve">Zadaná </w:t>
      </w:r>
      <w:r w:rsidR="00B22D74">
        <w:t xml:space="preserve">lineární </w:t>
      </w:r>
      <w:r>
        <w:t>soustava:</w:t>
      </w:r>
    </w:p>
    <w:p w:rsidR="00B22D74" w:rsidRDefault="00B22D74" w:rsidP="00B22D74">
      <w:pPr>
        <w:jc w:val="center"/>
      </w:pPr>
      <w:r>
        <w:rPr>
          <w:noProof/>
          <w:lang w:eastAsia="cs-CZ"/>
        </w:rPr>
        <w:drawing>
          <wp:inline distT="0" distB="0" distL="0" distR="0" wp14:anchorId="7933B87B" wp14:editId="085726A4">
            <wp:extent cx="2067636" cy="23452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684" cy="2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87" w:rsidRPr="00B22D74" w:rsidRDefault="00F87987" w:rsidP="00F879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=18,2;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=90,91;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=73,71;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=6,3</m:t>
          </m:r>
        </m:oMath>
      </m:oMathPara>
    </w:p>
    <w:p w:rsidR="00A37323" w:rsidRDefault="00A37323" w:rsidP="000B0401">
      <w:pPr>
        <w:rPr>
          <w:rFonts w:eastAsiaTheme="minorEastAsia"/>
        </w:rPr>
      </w:pPr>
      <w:r>
        <w:rPr>
          <w:rFonts w:eastAsiaTheme="minorEastAsia"/>
        </w:rPr>
        <w:t xml:space="preserve">Pomocí fce </w:t>
      </w:r>
      <w:r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tf2ss()</w:t>
      </w:r>
      <w:r w:rsidRPr="005B2B73">
        <w:rPr>
          <w:rFonts w:eastAsiaTheme="minorEastAsia"/>
          <w:color w:val="2F5496" w:themeColor="accent5" w:themeShade="BF"/>
        </w:rPr>
        <w:t xml:space="preserve"> </w:t>
      </w:r>
      <w:r w:rsidR="008E6B60">
        <w:rPr>
          <w:rFonts w:eastAsiaTheme="minorEastAsia"/>
        </w:rPr>
        <w:t>nebo přímo ze zadání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=1),</m:t>
        </m:r>
      </m:oMath>
      <w:r w:rsidR="008E6B60">
        <w:rPr>
          <w:rFonts w:eastAsiaTheme="minorEastAsia"/>
        </w:rPr>
        <w:t xml:space="preserve"> p</w:t>
      </w:r>
      <w:r>
        <w:rPr>
          <w:rFonts w:eastAsiaTheme="minorEastAsia"/>
        </w:rPr>
        <w:t>řevedu na stavový popis a z něj lze u</w:t>
      </w:r>
      <w:r w:rsidR="00504DD0">
        <w:rPr>
          <w:rFonts w:eastAsiaTheme="minorEastAsia"/>
        </w:rPr>
        <w:t>rčit Frobeniův kanonický tvar:</w:t>
      </w:r>
    </w:p>
    <w:p w:rsidR="00F276CF" w:rsidRPr="00D3253F" w:rsidRDefault="0004112B" w:rsidP="00F276C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-73,71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-90,91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-18,2</m:t>
                    </m:r>
                  </m:e>
                </m:mr>
              </m:m>
            </m:e>
          </m:d>
        </m:oMath>
      </m:oMathPara>
    </w:p>
    <w:p w:rsidR="00F276CF" w:rsidRPr="00D3253F" w:rsidRDefault="0004112B" w:rsidP="00F276C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276CF" w:rsidRPr="00D3253F" w:rsidRDefault="0004112B" w:rsidP="00F276C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0 0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,3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276CF" w:rsidRDefault="0004112B" w:rsidP="00F276CF"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237421" w:rsidRDefault="00237421" w:rsidP="00504DD0">
      <w:pPr>
        <w:rPr>
          <w:rFonts w:eastAsiaTheme="minorEastAsia"/>
        </w:rPr>
      </w:pPr>
    </w:p>
    <w:p w:rsidR="00237421" w:rsidRDefault="00237421" w:rsidP="00237421">
      <w:pPr>
        <w:rPr>
          <w:rFonts w:eastAsiaTheme="minorEastAsia"/>
        </w:rPr>
      </w:pPr>
      <w:r>
        <w:rPr>
          <w:rFonts w:eastAsiaTheme="minorEastAsia"/>
        </w:rPr>
        <w:t>Ze zadané rovnice vyjádřím (Laplace):</w:t>
      </w:r>
    </w:p>
    <w:p w:rsidR="00237421" w:rsidRPr="000B0401" w:rsidRDefault="00237421" w:rsidP="002374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+18,2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+90,91sY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+73,71Y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=6,3U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37421" w:rsidRPr="000B0401" w:rsidRDefault="00237421" w:rsidP="002374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+90,91s+73,71)=6,3U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37421" w:rsidRDefault="00237421" w:rsidP="00237421">
      <w:pPr>
        <w:rPr>
          <w:rFonts w:eastAsiaTheme="minorEastAsia"/>
        </w:rPr>
      </w:pPr>
      <w:r>
        <w:rPr>
          <w:rFonts w:eastAsiaTheme="minorEastAsia"/>
        </w:rPr>
        <w:t>Z toho přenos:</w:t>
      </w:r>
    </w:p>
    <w:p w:rsidR="00237421" w:rsidRPr="00A37323" w:rsidRDefault="00237421" w:rsidP="002374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+18,2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+90,91s+73,71</m:t>
              </m:r>
            </m:den>
          </m:f>
        </m:oMath>
      </m:oMathPara>
    </w:p>
    <w:p w:rsidR="00237421" w:rsidRDefault="00237421" w:rsidP="00504DD0">
      <w:pPr>
        <w:rPr>
          <w:rFonts w:eastAsiaTheme="minorEastAsia"/>
        </w:rPr>
      </w:pPr>
    </w:p>
    <w:p w:rsidR="00504DD0" w:rsidRDefault="00504DD0" w:rsidP="00504DD0">
      <w:pPr>
        <w:rPr>
          <w:rFonts w:eastAsiaTheme="minorEastAsia"/>
        </w:rPr>
      </w:pPr>
      <w:r>
        <w:rPr>
          <w:rFonts w:eastAsiaTheme="minorEastAsia"/>
        </w:rPr>
        <w:t xml:space="preserve">Pomocí fce 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residue</w:t>
      </w:r>
      <w:r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>
        <w:rPr>
          <w:rFonts w:eastAsiaTheme="minorEastAsia"/>
        </w:rPr>
        <w:t xml:space="preserve"> převe</w:t>
      </w:r>
      <w:r w:rsidR="00237421">
        <w:rPr>
          <w:rFonts w:eastAsiaTheme="minorEastAsia"/>
        </w:rPr>
        <w:t>du na součet parciálních zlomků:</w:t>
      </w:r>
    </w:p>
    <w:p w:rsidR="00237421" w:rsidRPr="00237421" w:rsidRDefault="00237421" w:rsidP="002374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+18,2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+90,91s+73,71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0,7778</m:t>
              </m:r>
            </m:num>
            <m:den>
              <m:r>
                <w:rPr>
                  <w:rFonts w:ascii="Cambria Math" w:eastAsiaTheme="minorEastAsia" w:hAnsi="Cambria Math"/>
                </w:rPr>
                <m:t>s+9,1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0,8873</m:t>
              </m:r>
            </m:num>
            <m:den>
              <m:r>
                <w:rPr>
                  <w:rFonts w:ascii="Cambria Math" w:eastAsiaTheme="minorEastAsia" w:hAnsi="Cambria Math"/>
                </w:rPr>
                <m:t>s+8,1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0,1095</m:t>
              </m:r>
            </m:num>
            <m:den>
              <m: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:rsidR="00237421" w:rsidRPr="00237421" w:rsidRDefault="00237421" w:rsidP="00237421">
      <w:pPr>
        <w:rPr>
          <w:rFonts w:eastAsiaTheme="minorEastAsia"/>
        </w:rPr>
      </w:pPr>
    </w:p>
    <w:p w:rsidR="00237421" w:rsidRDefault="00237421" w:rsidP="00504DD0">
      <w:pPr>
        <w:rPr>
          <w:rFonts w:eastAsiaTheme="minorEastAsia"/>
        </w:rPr>
      </w:pPr>
      <w:r>
        <w:rPr>
          <w:rFonts w:eastAsiaTheme="minorEastAsia"/>
        </w:rPr>
        <w:t>a z toho Jordanův kanonický tvar:</w:t>
      </w:r>
    </w:p>
    <w:p w:rsidR="00092544" w:rsidRPr="00D3253F" w:rsidRDefault="0004112B" w:rsidP="0009254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092544" w:rsidRPr="00D3253F" w:rsidRDefault="0004112B" w:rsidP="0009254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92544" w:rsidRPr="00D3253F" w:rsidRDefault="0004112B" w:rsidP="0009254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0,7778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-0,8873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0,1095</m:t>
                    </m:r>
                  </m:e>
                </m:mr>
              </m:m>
            </m:e>
          </m:d>
        </m:oMath>
      </m:oMathPara>
    </w:p>
    <w:p w:rsidR="00092544" w:rsidRDefault="0004112B" w:rsidP="00092544"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504DD0" w:rsidRDefault="00504DD0" w:rsidP="000B0401">
      <w:pPr>
        <w:rPr>
          <w:rFonts w:eastAsiaTheme="minorEastAsia"/>
        </w:rPr>
      </w:pPr>
    </w:p>
    <w:p w:rsidR="00221817" w:rsidRDefault="00F31CDC" w:rsidP="00335CB8">
      <w:pPr>
        <w:rPr>
          <w:rFonts w:eastAsiaTheme="minorEastAsia"/>
          <w:b/>
        </w:rPr>
      </w:pPr>
      <w:r>
        <w:rPr>
          <w:rFonts w:eastAsiaTheme="minorEastAsia"/>
        </w:rPr>
        <w:t>Na obrázku 1 je průběh pro Jordanův tvar získaný pomocí fce</w:t>
      </w:r>
      <w:r>
        <w:rPr>
          <w:rFonts w:eastAsiaTheme="minorEastAsia"/>
        </w:rPr>
        <w:t xml:space="preserve"> </w:t>
      </w:r>
      <w:proofErr w:type="gramStart"/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step</w:t>
      </w:r>
      <w:r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>
        <w:rPr>
          <w:rFonts w:eastAsiaTheme="minorEastAsia"/>
        </w:rPr>
        <w:t>. Identický</w:t>
      </w:r>
      <w:proofErr w:type="gramEnd"/>
      <w:r>
        <w:rPr>
          <w:rFonts w:eastAsiaTheme="minorEastAsia"/>
        </w:rPr>
        <w:t xml:space="preserve"> průběh je i pro Frobeniův tvar.</w:t>
      </w:r>
    </w:p>
    <w:p w:rsidR="00221817" w:rsidRDefault="00221817" w:rsidP="00221817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pt;height:272.5pt">
            <v:imagedata r:id="rId5" o:title="1"/>
          </v:shape>
        </w:pict>
      </w:r>
    </w:p>
    <w:p w:rsidR="00335CB8" w:rsidRDefault="00221817" w:rsidP="00221817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Obr. 1</w:t>
      </w:r>
      <w:r w:rsidR="00335CB8">
        <w:rPr>
          <w:rFonts w:eastAsiaTheme="minorEastAsia"/>
          <w:b/>
        </w:rPr>
        <w:t xml:space="preserve"> – Přechodová charakteristika, stejná pro Frobenia i Jordana</w:t>
      </w:r>
    </w:p>
    <w:p w:rsidR="004554E7" w:rsidRDefault="004554E7" w:rsidP="004554E7">
      <w:pPr>
        <w:rPr>
          <w:rFonts w:eastAsiaTheme="minorEastAsia"/>
        </w:rPr>
      </w:pPr>
    </w:p>
    <w:p w:rsidR="004554E7" w:rsidRDefault="004554E7" w:rsidP="004554E7">
      <w:pPr>
        <w:rPr>
          <w:rFonts w:eastAsiaTheme="minorEastAsia"/>
        </w:rPr>
      </w:pPr>
      <w:r>
        <w:rPr>
          <w:rFonts w:eastAsiaTheme="minorEastAsia"/>
        </w:rPr>
        <w:t>Model byl dále ověřen v Simulinku. Na obr. 2 je schéma a na obr. 3 simulovaná přechodová charakteristika.</w:t>
      </w:r>
    </w:p>
    <w:p w:rsidR="004554E7" w:rsidRDefault="004554E7" w:rsidP="004554E7">
      <w:pPr>
        <w:rPr>
          <w:rFonts w:eastAsiaTheme="minorEastAsia"/>
        </w:rPr>
      </w:pPr>
    </w:p>
    <w:p w:rsidR="004554E7" w:rsidRDefault="00427383" w:rsidP="004554E7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cs-CZ"/>
        </w:rPr>
        <w:drawing>
          <wp:inline distT="0" distB="0" distL="0" distR="0">
            <wp:extent cx="5753100" cy="1860550"/>
            <wp:effectExtent l="0" t="0" r="0" b="6350"/>
            <wp:docPr id="3" name="Obrázek 3" descr="C:\Users\jiri.halmazna\AppData\Local\Microsoft\Windows\INetCache\Content.Word\step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jiri.halmazna\AppData\Local\Microsoft\Windows\INetCache\Content.Word\step_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E7" w:rsidRDefault="004554E7" w:rsidP="004554E7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Obr. 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  <w:b/>
        </w:rPr>
        <w:t>Simulační schéma</w:t>
      </w:r>
    </w:p>
    <w:p w:rsidR="004554E7" w:rsidRDefault="00EE76F1" w:rsidP="004554E7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55" type="#_x0000_t75" style="width:295pt;height:206.5pt">
            <v:imagedata r:id="rId7" o:title="step_model_out"/>
          </v:shape>
        </w:pict>
      </w:r>
    </w:p>
    <w:p w:rsidR="004554E7" w:rsidRDefault="004554E7" w:rsidP="004554E7">
      <w:pPr>
        <w:jc w:val="center"/>
        <w:rPr>
          <w:rFonts w:eastAsiaTheme="minorEastAsia"/>
        </w:rPr>
      </w:pPr>
      <w:r>
        <w:rPr>
          <w:rFonts w:eastAsiaTheme="minorEastAsia"/>
          <w:b/>
        </w:rPr>
        <w:t>Obr.</w:t>
      </w:r>
      <w:r>
        <w:rPr>
          <w:rFonts w:eastAsiaTheme="minorEastAsia"/>
          <w:b/>
        </w:rPr>
        <w:t xml:space="preserve"> 3</w:t>
      </w:r>
      <w:r>
        <w:rPr>
          <w:rFonts w:eastAsiaTheme="minorEastAsia"/>
          <w:b/>
        </w:rPr>
        <w:t xml:space="preserve"> – Přechodová charakteristika</w:t>
      </w:r>
      <w:r>
        <w:rPr>
          <w:rFonts w:eastAsiaTheme="minorEastAsia"/>
          <w:b/>
        </w:rPr>
        <w:t xml:space="preserve"> - Simulink</w:t>
      </w:r>
    </w:p>
    <w:p w:rsidR="004554E7" w:rsidRDefault="004554E7" w:rsidP="004554E7">
      <w:pPr>
        <w:rPr>
          <w:rFonts w:eastAsiaTheme="minorEastAsia"/>
        </w:rPr>
      </w:pPr>
    </w:p>
    <w:p w:rsidR="004554E7" w:rsidRDefault="004554E7" w:rsidP="004554E7">
      <w:pPr>
        <w:rPr>
          <w:rFonts w:eastAsiaTheme="minorEastAsia"/>
        </w:rPr>
      </w:pPr>
    </w:p>
    <w:p w:rsidR="004554E7" w:rsidRPr="004554E7" w:rsidRDefault="004554E7" w:rsidP="004554E7">
      <w:pPr>
        <w:rPr>
          <w:rFonts w:eastAsiaTheme="minorEastAsia"/>
        </w:rPr>
      </w:pPr>
    </w:p>
    <w:p w:rsidR="00335CB8" w:rsidRDefault="00335C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552D1" w:rsidRDefault="000F5CF2" w:rsidP="001552D1">
      <w:pPr>
        <w:rPr>
          <w:rFonts w:eastAsiaTheme="minorEastAsia"/>
        </w:rPr>
      </w:pPr>
      <w:r w:rsidRPr="000F5CF2">
        <w:rPr>
          <w:rFonts w:eastAsiaTheme="minorEastAsia"/>
          <w:b/>
          <w:color w:val="2F5496" w:themeColor="accent5" w:themeShade="BF"/>
        </w:rPr>
        <w:lastRenderedPageBreak/>
        <w:t>Ad B)</w:t>
      </w:r>
    </w:p>
    <w:p w:rsidR="000F5CF2" w:rsidRPr="0005047A" w:rsidRDefault="001552D1" w:rsidP="001552D1">
      <w:pPr>
        <w:rPr>
          <w:rFonts w:eastAsiaTheme="minorEastAsia"/>
          <w:i/>
        </w:rPr>
      </w:pPr>
      <w:r w:rsidRPr="0005047A">
        <w:rPr>
          <w:rFonts w:eastAsiaTheme="minorEastAsia"/>
          <w:i/>
        </w:rPr>
        <w:t>Řešte úplnou a neúplnou stavovou rovnici v Laplaceově transformaci. Stanovte obraz matice přechodu Φ(</w:t>
      </w:r>
      <w:r w:rsidRPr="0005047A">
        <w:rPr>
          <w:rFonts w:ascii="Cambria Math" w:eastAsiaTheme="minorEastAsia" w:hAnsi="Cambria Math" w:cs="Cambria Math"/>
          <w:i/>
        </w:rPr>
        <w:t>𝑠</w:t>
      </w:r>
      <w:r w:rsidRPr="0005047A">
        <w:rPr>
          <w:rFonts w:eastAsiaTheme="minorEastAsia"/>
          <w:i/>
        </w:rPr>
        <w:t>). Najděte řešení stavové rovnice pro zvolený nenulový počáteční stav a průběhy vykreslete.</w:t>
      </w:r>
    </w:p>
    <w:p w:rsidR="000B0401" w:rsidRDefault="0031272B" w:rsidP="00F87987">
      <w:pPr>
        <w:rPr>
          <w:rFonts w:eastAsiaTheme="minorEastAsia"/>
        </w:rPr>
      </w:pPr>
      <w:r>
        <w:rPr>
          <w:rFonts w:eastAsiaTheme="minorEastAsia"/>
        </w:rPr>
        <w:t xml:space="preserve">Počáteční stav pro úplnou stavovou rovnici </w:t>
      </w:r>
      <w:r w:rsidR="0005047A">
        <w:rPr>
          <w:rFonts w:eastAsiaTheme="minorEastAsia"/>
        </w:rPr>
        <w:t>zvolen jako</w:t>
      </w:r>
      <w:r>
        <w:rPr>
          <w:rFonts w:eastAsiaTheme="minorEastAsia"/>
        </w:rPr>
        <w:t>:</w:t>
      </w:r>
    </w:p>
    <w:p w:rsidR="0031272B" w:rsidRPr="006C64BA" w:rsidRDefault="0031272B" w:rsidP="0031272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1272B" w:rsidRDefault="009D1CC7" w:rsidP="00F87987">
      <w:pPr>
        <w:rPr>
          <w:rFonts w:eastAsiaTheme="minorEastAsia"/>
        </w:rPr>
      </w:pPr>
      <w:r>
        <w:rPr>
          <w:rFonts w:eastAsiaTheme="minorEastAsia"/>
        </w:rPr>
        <w:t>Obraz matice přechodu:</w:t>
      </w:r>
    </w:p>
    <w:p w:rsidR="009D1CC7" w:rsidRPr="002023F3" w:rsidRDefault="004B3485" w:rsidP="009D1CC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D1CC7" w:rsidRPr="009D1CC7" w:rsidRDefault="004B3485" w:rsidP="009D1CC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-9,1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-8,1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D1CC7" w:rsidRPr="009D1CC7" w:rsidRDefault="004B3485" w:rsidP="009D1CC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s+9,1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s+8,1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</m:mr>
              </m:m>
            </m:e>
          </m:d>
        </m:oMath>
      </m:oMathPara>
    </w:p>
    <w:p w:rsidR="009D1CC7" w:rsidRDefault="00D0618C" w:rsidP="009D1CC7">
      <w:pPr>
        <w:rPr>
          <w:rFonts w:eastAsiaTheme="minorEastAsia"/>
        </w:rPr>
      </w:pPr>
      <w:r>
        <w:rPr>
          <w:rFonts w:eastAsiaTheme="minorEastAsia"/>
        </w:rPr>
        <w:t>Neúplná rovnice</w:t>
      </w:r>
      <w:r w:rsidR="000863A5">
        <w:rPr>
          <w:rFonts w:eastAsiaTheme="minorEastAsia"/>
        </w:rPr>
        <w:t>:</w:t>
      </w:r>
    </w:p>
    <w:p w:rsidR="000863A5" w:rsidRPr="00D0618C" w:rsidRDefault="000F3B36" w:rsidP="009D1C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-9,1t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-8,1t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mr>
              </m:m>
            </m:e>
          </m:d>
        </m:oMath>
      </m:oMathPara>
    </w:p>
    <w:p w:rsidR="00F2668F" w:rsidRPr="00AC59D5" w:rsidRDefault="00F2668F" w:rsidP="009D1CC7">
      <w:pPr>
        <w:rPr>
          <w:rFonts w:eastAsiaTheme="minorEastAsia"/>
        </w:rPr>
      </w:pPr>
    </w:p>
    <w:p w:rsidR="00F2668F" w:rsidRDefault="00AC59D5" w:rsidP="009D1CC7">
      <w:pPr>
        <w:rPr>
          <w:rFonts w:eastAsiaTheme="minorEastAsia"/>
        </w:rPr>
      </w:pPr>
      <w:r w:rsidRPr="00AC59D5">
        <w:rPr>
          <w:rFonts w:eastAsiaTheme="minorEastAsia"/>
        </w:rPr>
        <w:t xml:space="preserve">Na obrázku </w:t>
      </w:r>
      <w:r w:rsidR="009035F7">
        <w:rPr>
          <w:rFonts w:eastAsiaTheme="minorEastAsia"/>
        </w:rPr>
        <w:t>4</w:t>
      </w:r>
      <w:r w:rsidRPr="00AC59D5">
        <w:rPr>
          <w:rFonts w:eastAsiaTheme="minorEastAsia"/>
        </w:rPr>
        <w:t xml:space="preserve"> jsou průběhy stavových veličin, pro neúplnou rovnici (bez buzení).</w:t>
      </w:r>
    </w:p>
    <w:p w:rsidR="00E2388A" w:rsidRDefault="00E2388A" w:rsidP="009D1CC7">
      <w:pPr>
        <w:rPr>
          <w:rFonts w:eastAsiaTheme="minorEastAsia"/>
        </w:rPr>
      </w:pPr>
    </w:p>
    <w:p w:rsidR="00E2388A" w:rsidRPr="00AC59D5" w:rsidRDefault="00E2388A" w:rsidP="009D1CC7">
      <w:pPr>
        <w:rPr>
          <w:rFonts w:eastAsiaTheme="minorEastAsia"/>
        </w:rPr>
      </w:pPr>
    </w:p>
    <w:p w:rsidR="00F2668F" w:rsidRDefault="00BB22E0" w:rsidP="00F2668F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pict>
          <v:shape id="_x0000_i1027" type="#_x0000_t75" style="width:312pt;height:234pt">
            <v:imagedata r:id="rId8" o:title="3"/>
          </v:shape>
        </w:pict>
      </w:r>
    </w:p>
    <w:p w:rsidR="00D0618C" w:rsidRPr="00D0618C" w:rsidRDefault="00D0618C" w:rsidP="00F2668F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Obr</w:t>
      </w:r>
      <w:r w:rsidR="00F2668F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</w:t>
      </w:r>
      <w:r w:rsidR="009035F7">
        <w:rPr>
          <w:rFonts w:eastAsiaTheme="minorEastAsia"/>
          <w:b/>
        </w:rPr>
        <w:t>4</w:t>
      </w:r>
      <w:r>
        <w:rPr>
          <w:rFonts w:eastAsiaTheme="minorEastAsia"/>
          <w:b/>
        </w:rPr>
        <w:t xml:space="preserve"> – Průběh vnitřních stavů – neúplná rovnice</w:t>
      </w:r>
    </w:p>
    <w:p w:rsidR="009D1CC7" w:rsidRPr="007259A1" w:rsidRDefault="009D1CC7" w:rsidP="00F87987">
      <w:pPr>
        <w:rPr>
          <w:rFonts w:eastAsiaTheme="minorEastAsia"/>
        </w:rPr>
      </w:pPr>
    </w:p>
    <w:p w:rsidR="007259A1" w:rsidRDefault="003E1B00" w:rsidP="00F87987">
      <w:pPr>
        <w:rPr>
          <w:rFonts w:eastAsiaTheme="minorEastAsia"/>
        </w:rPr>
      </w:pPr>
      <w:r>
        <w:rPr>
          <w:rFonts w:eastAsiaTheme="minorEastAsia"/>
        </w:rPr>
        <w:t>Zvolený budící signál je konstanta 5. Obraz</w:t>
      </w:r>
      <w:r w:rsidR="00C541E0">
        <w:rPr>
          <w:rFonts w:eastAsiaTheme="minorEastAsia"/>
        </w:rPr>
        <w:t>:</w:t>
      </w:r>
    </w:p>
    <w:p w:rsidR="00C541E0" w:rsidRPr="003E1B00" w:rsidRDefault="003E1B00" w:rsidP="00F87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E1B00" w:rsidRPr="007F2F34" w:rsidRDefault="00DD217D" w:rsidP="00F879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upl</m:t>
              </m:r>
            </m:sub>
          </m:sSub>
          <m:r>
            <w:rPr>
              <w:rFonts w:ascii="Cambria Math" w:hAnsi="Cambria Math"/>
            </w:rPr>
            <m:t>(s)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∙U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s+9,1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s+8,1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</m:mr>
              </m:m>
            </m:e>
          </m:d>
        </m:oMath>
      </m:oMathPara>
    </w:p>
    <w:p w:rsidR="007F2F34" w:rsidRDefault="007F2F34" w:rsidP="00F87987">
      <w:pPr>
        <w:rPr>
          <w:rFonts w:eastAsiaTheme="minorEastAsia"/>
        </w:rPr>
      </w:pPr>
      <w:r>
        <w:rPr>
          <w:rFonts w:eastAsiaTheme="minorEastAsia"/>
        </w:rPr>
        <w:t>Úplná rovnice:</w:t>
      </w:r>
    </w:p>
    <w:p w:rsidR="007F2F34" w:rsidRDefault="007F2F34" w:rsidP="00F87987">
      <w:pPr>
        <w:rPr>
          <w:rFonts w:eastAsiaTheme="minorEastAsia"/>
        </w:rPr>
      </w:pPr>
    </w:p>
    <w:p w:rsidR="003E1B00" w:rsidRDefault="007F2F34" w:rsidP="00F879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upl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upl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4,1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9,1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-9,1t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9,1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1,43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1,62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-8,1t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8,1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E1B00" w:rsidRDefault="003E1B00" w:rsidP="00F87987">
      <w:pPr>
        <w:rPr>
          <w:rFonts w:eastAsiaTheme="minorEastAsia"/>
        </w:rPr>
      </w:pPr>
    </w:p>
    <w:p w:rsidR="00BB22E0" w:rsidRDefault="00BB22E0" w:rsidP="00F87987">
      <w:pPr>
        <w:rPr>
          <w:rFonts w:eastAsiaTheme="minorEastAsia"/>
        </w:rPr>
      </w:pPr>
      <w:r w:rsidRPr="00AC59D5">
        <w:rPr>
          <w:rFonts w:eastAsiaTheme="minorEastAsia"/>
        </w:rPr>
        <w:t xml:space="preserve">Na obrázku </w:t>
      </w:r>
      <w:r w:rsidR="009035F7">
        <w:rPr>
          <w:rFonts w:eastAsiaTheme="minorEastAsia"/>
        </w:rPr>
        <w:t>5</w:t>
      </w:r>
      <w:r w:rsidRPr="00AC59D5">
        <w:rPr>
          <w:rFonts w:eastAsiaTheme="minorEastAsia"/>
        </w:rPr>
        <w:t xml:space="preserve"> jsou průběhy stavových veličin, pro úplnou rovnici (</w:t>
      </w:r>
      <w:r>
        <w:rPr>
          <w:rFonts w:eastAsiaTheme="minorEastAsia"/>
        </w:rPr>
        <w:t>buzena konstantním ss signálem o hodnotě 5</w:t>
      </w:r>
      <w:r w:rsidRPr="00AC59D5">
        <w:rPr>
          <w:rFonts w:eastAsiaTheme="minorEastAsia"/>
        </w:rPr>
        <w:t>).</w:t>
      </w:r>
    </w:p>
    <w:p w:rsidR="003E1B00" w:rsidRDefault="00BB22E0" w:rsidP="00452897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29" type="#_x0000_t75" style="width:311.5pt;height:233.5pt">
            <v:imagedata r:id="rId9" o:title="4"/>
          </v:shape>
        </w:pict>
      </w:r>
    </w:p>
    <w:p w:rsidR="001A6EA9" w:rsidRPr="00D0618C" w:rsidRDefault="001A6EA9" w:rsidP="00452897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Obr</w:t>
      </w:r>
      <w:r w:rsidR="007029D9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</w:t>
      </w:r>
      <w:r w:rsidR="009035F7">
        <w:rPr>
          <w:rFonts w:eastAsiaTheme="minorEastAsia"/>
          <w:b/>
        </w:rPr>
        <w:t>5</w:t>
      </w:r>
      <w:r>
        <w:rPr>
          <w:rFonts w:eastAsiaTheme="minorEastAsia"/>
          <w:b/>
        </w:rPr>
        <w:t xml:space="preserve"> – Průběh vnitřních stavů – úplná rovnice</w:t>
      </w:r>
    </w:p>
    <w:p w:rsidR="003E1B00" w:rsidRPr="003E1B00" w:rsidRDefault="003E1B00" w:rsidP="00F87987">
      <w:pPr>
        <w:rPr>
          <w:rFonts w:eastAsiaTheme="minorEastAsia"/>
        </w:rPr>
      </w:pPr>
    </w:p>
    <w:p w:rsidR="007F34E0" w:rsidRDefault="00E510B6" w:rsidP="007F34E0">
      <w:pPr>
        <w:rPr>
          <w:rFonts w:eastAsiaTheme="minorEastAsia"/>
        </w:rPr>
      </w:pPr>
      <w:r w:rsidRPr="000F5CF2">
        <w:rPr>
          <w:rFonts w:eastAsiaTheme="minorEastAsia"/>
          <w:b/>
          <w:color w:val="2F5496" w:themeColor="accent5" w:themeShade="BF"/>
        </w:rPr>
        <w:t xml:space="preserve">Ad </w:t>
      </w:r>
      <w:r>
        <w:rPr>
          <w:rFonts w:eastAsiaTheme="minorEastAsia"/>
          <w:b/>
          <w:color w:val="2F5496" w:themeColor="accent5" w:themeShade="BF"/>
        </w:rPr>
        <w:t>C</w:t>
      </w:r>
      <w:r w:rsidRPr="000F5CF2">
        <w:rPr>
          <w:rFonts w:eastAsiaTheme="minorEastAsia"/>
          <w:b/>
          <w:color w:val="2F5496" w:themeColor="accent5" w:themeShade="BF"/>
        </w:rPr>
        <w:t>)</w:t>
      </w:r>
    </w:p>
    <w:p w:rsidR="00102B71" w:rsidRPr="0007031F" w:rsidRDefault="007F34E0" w:rsidP="007F34E0">
      <w:pPr>
        <w:rPr>
          <w:rFonts w:eastAsiaTheme="minorEastAsia"/>
          <w:i/>
        </w:rPr>
      </w:pPr>
      <w:r w:rsidRPr="0007031F">
        <w:rPr>
          <w:rFonts w:eastAsiaTheme="minorEastAsia"/>
          <w:i/>
        </w:rPr>
        <w:t>Vyšetřete řiditelnost, pozorovatelnost, rekonstruovatelnost a dosažitelnost systému.</w:t>
      </w:r>
    </w:p>
    <w:p w:rsidR="009953B7" w:rsidRDefault="000F142F" w:rsidP="007F34E0">
      <w:pPr>
        <w:rPr>
          <w:rFonts w:eastAsiaTheme="minorEastAsia"/>
        </w:rPr>
      </w:pPr>
      <w:r>
        <w:rPr>
          <w:rFonts w:eastAsiaTheme="minorEastAsia"/>
        </w:rPr>
        <w:t xml:space="preserve">Systém je řiditelný, pokud se hodnost matice řiditelnosti rovná řádu systému </w:t>
      </w:r>
      <w:r w:rsidR="00166344">
        <w:rPr>
          <w:rFonts w:eastAsiaTheme="minorEastAsia"/>
        </w:rPr>
        <w:t xml:space="preserve">– zde 3. Určení matice řiditelnosti bylo provedeno pomocí fce </w:t>
      </w:r>
      <w:r w:rsidR="00166344">
        <w:rPr>
          <w:rFonts w:ascii="Consolas" w:eastAsiaTheme="minorEastAsia" w:hAnsi="Consolas"/>
          <w:color w:val="2F5496" w:themeColor="accent5" w:themeShade="BF"/>
          <w:sz w:val="18"/>
          <w:szCs w:val="18"/>
        </w:rPr>
        <w:t>ctrb</w:t>
      </w:r>
      <w:r w:rsidR="00166344"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 w:rsidR="00166344">
        <w:rPr>
          <w:rFonts w:eastAsiaTheme="minorEastAsia"/>
        </w:rPr>
        <w:t>.</w:t>
      </w:r>
    </w:p>
    <w:p w:rsidR="00102B71" w:rsidRPr="00B22D74" w:rsidRDefault="00102B71" w:rsidP="00F87987">
      <w:pPr>
        <w:rPr>
          <w:rFonts w:eastAsiaTheme="minorEastAsia"/>
        </w:rPr>
      </w:pPr>
    </w:p>
    <w:p w:rsidR="00A40F83" w:rsidRPr="00B44F9D" w:rsidRDefault="00A40F83" w:rsidP="00A40F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rid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82,81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65,61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B44F9D" w:rsidRDefault="00B44F9D" w:rsidP="00A40F83">
      <w:pPr>
        <w:rPr>
          <w:rFonts w:eastAsiaTheme="minorEastAsia"/>
        </w:rPr>
      </w:pPr>
      <w:r>
        <w:rPr>
          <w:rFonts w:eastAsiaTheme="minorEastAsia"/>
        </w:rPr>
        <w:t>Hodnost této matice</w:t>
      </w:r>
      <w:r w:rsidR="00C12ED1">
        <w:rPr>
          <w:rFonts w:eastAsiaTheme="minorEastAsia"/>
        </w:rPr>
        <w:t xml:space="preserve"> je 3, čili systém je řiditelný i dosa</w:t>
      </w:r>
      <w:r w:rsidR="003451B1">
        <w:rPr>
          <w:rFonts w:eastAsiaTheme="minorEastAsia"/>
        </w:rPr>
        <w:t>žitelný.</w:t>
      </w:r>
    </w:p>
    <w:p w:rsidR="00B44F9D" w:rsidRDefault="006871EC" w:rsidP="00A40F83">
      <w:pPr>
        <w:rPr>
          <w:rFonts w:eastAsiaTheme="minorEastAsia"/>
        </w:rPr>
      </w:pPr>
      <w:r>
        <w:rPr>
          <w:rFonts w:eastAsiaTheme="minorEastAsia"/>
        </w:rPr>
        <w:t>Systém je pozorovatelný, je-li hodnost matice pozorovatelnosti rovna řádu systému – zde 3. Určení natice pozorovatelnosti</w:t>
      </w:r>
      <w:r w:rsidR="00C2797B">
        <w:rPr>
          <w:rFonts w:eastAsiaTheme="minorEastAsia"/>
        </w:rPr>
        <w:t xml:space="preserve"> pomocí fce </w:t>
      </w:r>
      <w:r w:rsidR="00C2797B">
        <w:rPr>
          <w:rFonts w:ascii="Consolas" w:eastAsiaTheme="minorEastAsia" w:hAnsi="Consolas"/>
          <w:color w:val="2F5496" w:themeColor="accent5" w:themeShade="BF"/>
          <w:sz w:val="18"/>
          <w:szCs w:val="18"/>
        </w:rPr>
        <w:t>obsv</w:t>
      </w:r>
      <w:r w:rsidR="00C2797B"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 w:rsidR="00C2797B">
        <w:rPr>
          <w:rFonts w:eastAsiaTheme="minorEastAsia"/>
        </w:rPr>
        <w:t>.</w:t>
      </w:r>
      <w:r>
        <w:rPr>
          <w:rFonts w:eastAsiaTheme="minorEastAsia"/>
        </w:rPr>
        <w:t>:</w:t>
      </w:r>
    </w:p>
    <w:p w:rsidR="006871EC" w:rsidRPr="006871EC" w:rsidRDefault="006871EC" w:rsidP="00A40F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poz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CA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0,7778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-0,8873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-7,0778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7,1873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-0,1095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64,4078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-58,2173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0,1095</m:t>
                    </m:r>
                  </m:e>
                </m:mr>
              </m:m>
            </m:e>
          </m:d>
        </m:oMath>
      </m:oMathPara>
    </w:p>
    <w:p w:rsidR="006871EC" w:rsidRPr="00D3253F" w:rsidRDefault="006871EC" w:rsidP="00A40F83">
      <w:pPr>
        <w:rPr>
          <w:rFonts w:eastAsiaTheme="minorEastAsia"/>
        </w:rPr>
      </w:pPr>
      <w:r>
        <w:rPr>
          <w:rFonts w:eastAsiaTheme="minorEastAsia"/>
        </w:rPr>
        <w:t>Hodnost této matice je 3, čili systém je pozorovatelný a zároven tedy i rekonstruovatelný.</w:t>
      </w:r>
    </w:p>
    <w:p w:rsidR="00B22D74" w:rsidRDefault="00B22D74" w:rsidP="00F87987">
      <w:pPr>
        <w:rPr>
          <w:rFonts w:eastAsiaTheme="minorEastAsia"/>
        </w:rPr>
      </w:pPr>
    </w:p>
    <w:p w:rsidR="00E2388A" w:rsidRDefault="00E2388A">
      <w:pPr>
        <w:rPr>
          <w:rFonts w:eastAsiaTheme="minorEastAsia"/>
          <w:b/>
          <w:color w:val="2F5496" w:themeColor="accent5" w:themeShade="BF"/>
        </w:rPr>
      </w:pPr>
      <w:r>
        <w:rPr>
          <w:rFonts w:eastAsiaTheme="minorEastAsia"/>
          <w:b/>
          <w:color w:val="2F5496" w:themeColor="accent5" w:themeShade="BF"/>
        </w:rPr>
        <w:br w:type="page"/>
      </w:r>
    </w:p>
    <w:p w:rsidR="00B64EFF" w:rsidRDefault="00B64EFF" w:rsidP="00B64EFF">
      <w:pPr>
        <w:rPr>
          <w:rFonts w:eastAsiaTheme="minorEastAsia"/>
        </w:rPr>
      </w:pPr>
      <w:r w:rsidRPr="000F5CF2">
        <w:rPr>
          <w:rFonts w:eastAsiaTheme="minorEastAsia"/>
          <w:b/>
          <w:color w:val="2F5496" w:themeColor="accent5" w:themeShade="BF"/>
        </w:rPr>
        <w:lastRenderedPageBreak/>
        <w:t xml:space="preserve">Ad </w:t>
      </w:r>
      <w:r>
        <w:rPr>
          <w:rFonts w:eastAsiaTheme="minorEastAsia"/>
          <w:b/>
          <w:color w:val="2F5496" w:themeColor="accent5" w:themeShade="BF"/>
        </w:rPr>
        <w:t>D</w:t>
      </w:r>
      <w:r w:rsidRPr="000F5CF2">
        <w:rPr>
          <w:rFonts w:eastAsiaTheme="minorEastAsia"/>
          <w:b/>
          <w:color w:val="2F5496" w:themeColor="accent5" w:themeShade="BF"/>
        </w:rPr>
        <w:t>)</w:t>
      </w:r>
    </w:p>
    <w:p w:rsidR="00F87987" w:rsidRPr="00E85D2D" w:rsidRDefault="00B80A89" w:rsidP="00F87987">
      <w:pPr>
        <w:rPr>
          <w:rFonts w:eastAsiaTheme="minorEastAsia"/>
          <w:i/>
        </w:rPr>
      </w:pPr>
      <w:r w:rsidRPr="00E85D2D">
        <w:rPr>
          <w:rFonts w:eastAsiaTheme="minorEastAsia"/>
          <w:i/>
        </w:rPr>
        <w:t xml:space="preserve">Předpokládejte, že soustava je regulována PID regulátorem s přenosem </w:t>
      </w:r>
      <w:r w:rsidRPr="00E85D2D">
        <w:rPr>
          <w:rFonts w:ascii="Cambria Math" w:eastAsiaTheme="minorEastAsia" w:hAnsi="Cambria Math" w:cs="Cambria Math"/>
        </w:rPr>
        <w:t>𝐺𝑅</w:t>
      </w:r>
      <w:r w:rsidRPr="00E85D2D">
        <w:rPr>
          <w:rFonts w:eastAsiaTheme="minorEastAsia"/>
        </w:rPr>
        <w:t>(</w:t>
      </w:r>
      <w:r w:rsidRPr="00E85D2D">
        <w:rPr>
          <w:rFonts w:ascii="Cambria Math" w:eastAsiaTheme="minorEastAsia" w:hAnsi="Cambria Math" w:cs="Cambria Math"/>
        </w:rPr>
        <w:t>𝑠</w:t>
      </w:r>
      <w:r w:rsidRPr="00E85D2D">
        <w:rPr>
          <w:rFonts w:eastAsiaTheme="minorEastAsia"/>
        </w:rPr>
        <w:t>)=</w:t>
      </w:r>
      <w:r w:rsidRPr="00E85D2D">
        <w:rPr>
          <w:rFonts w:ascii="Cambria Math" w:eastAsiaTheme="minorEastAsia" w:hAnsi="Cambria Math" w:cs="Cambria Math"/>
        </w:rPr>
        <w:t>𝑃</w:t>
      </w:r>
      <w:r w:rsidRPr="00E85D2D">
        <w:rPr>
          <w:rFonts w:eastAsiaTheme="minorEastAsia"/>
        </w:rPr>
        <w:t>+</w:t>
      </w:r>
      <w:r w:rsidRPr="00E85D2D">
        <w:rPr>
          <w:rFonts w:ascii="Cambria Math" w:eastAsiaTheme="minorEastAsia" w:hAnsi="Cambria Math" w:cs="Cambria Math"/>
        </w:rPr>
        <w:t>𝐼*</w:t>
      </w:r>
      <w:r w:rsidRPr="00E85D2D">
        <w:rPr>
          <w:rFonts w:eastAsiaTheme="minorEastAsia"/>
        </w:rPr>
        <w:t>1/</w:t>
      </w:r>
      <w:r w:rsidRPr="00E85D2D">
        <w:rPr>
          <w:rFonts w:ascii="Cambria Math" w:eastAsiaTheme="minorEastAsia" w:hAnsi="Cambria Math" w:cs="Cambria Math"/>
        </w:rPr>
        <w:t>𝑠</w:t>
      </w:r>
      <w:r w:rsidRPr="00E85D2D">
        <w:rPr>
          <w:rFonts w:eastAsiaTheme="minorEastAsia"/>
        </w:rPr>
        <w:t>+</w:t>
      </w:r>
      <w:r w:rsidRPr="00E85D2D">
        <w:rPr>
          <w:rFonts w:ascii="Cambria Math" w:eastAsiaTheme="minorEastAsia" w:hAnsi="Cambria Math" w:cs="Cambria Math"/>
        </w:rPr>
        <w:t>𝐷𝑠</w:t>
      </w:r>
      <w:r w:rsidRPr="00E85D2D">
        <w:rPr>
          <w:rFonts w:eastAsiaTheme="minorEastAsia"/>
          <w:i/>
        </w:rPr>
        <w:t xml:space="preserve"> (složky zvolte vhodně tak, aby byla uzavřená smyčka stabilní, nebo použijte funkci pidtune). Ověřte stabilitu uzavřeného regulačního obvodu Nyquistovým a Michajlovým kritériem. Pro tento obvod stanovte zásobu stability v amplitudě a ve fázi, překmit, dobu ustálení, dobu náběhu.</w:t>
      </w:r>
    </w:p>
    <w:p w:rsidR="00C2797B" w:rsidRDefault="00430915" w:rsidP="00F87987">
      <w:pPr>
        <w:rPr>
          <w:rFonts w:eastAsiaTheme="minorEastAsia"/>
        </w:rPr>
      </w:pPr>
      <w:r>
        <w:rPr>
          <w:rFonts w:eastAsiaTheme="minorEastAsia"/>
        </w:rPr>
        <w:t xml:space="preserve">Parametry PID regulátoru byly zvoleny pomocí fce 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pidtune</w:t>
      </w:r>
      <w:r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>
        <w:rPr>
          <w:rFonts w:eastAsiaTheme="minorEastAsia"/>
        </w:rPr>
        <w:t>: P=22,8; I=29,7; D=4,22.</w:t>
      </w:r>
    </w:p>
    <w:p w:rsidR="001C2817" w:rsidRDefault="001C2817" w:rsidP="00F87987">
      <w:pPr>
        <w:rPr>
          <w:rFonts w:eastAsiaTheme="minorEastAsia"/>
        </w:rPr>
      </w:pPr>
      <w:r>
        <w:rPr>
          <w:rFonts w:eastAsiaTheme="minorEastAsia"/>
        </w:rPr>
        <w:t xml:space="preserve">Na obrázku </w:t>
      </w:r>
      <w:r w:rsidR="009035F7">
        <w:rPr>
          <w:rFonts w:eastAsiaTheme="minorEastAsia"/>
        </w:rPr>
        <w:t>6</w:t>
      </w:r>
      <w:r>
        <w:rPr>
          <w:rFonts w:eastAsiaTheme="minorEastAsia"/>
        </w:rPr>
        <w:t xml:space="preserve"> je nyquistův diagram soustavy s regulátorem. Křivka neobepíná bod -1, proto po uzavření zpětné vazby bude obvod stabilní.</w:t>
      </w:r>
    </w:p>
    <w:p w:rsidR="007643A1" w:rsidRDefault="00901C94" w:rsidP="00901C94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33" type="#_x0000_t75" style="width:331.5pt;height:249pt">
            <v:imagedata r:id="rId10" o:title="6"/>
          </v:shape>
        </w:pict>
      </w:r>
    </w:p>
    <w:p w:rsidR="00901C94" w:rsidRPr="00D0618C" w:rsidRDefault="00901C94" w:rsidP="00901C9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Obr</w:t>
      </w:r>
      <w:r w:rsidR="007029D9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</w:t>
      </w:r>
      <w:r w:rsidR="009035F7">
        <w:rPr>
          <w:rFonts w:eastAsiaTheme="minorEastAsia"/>
          <w:b/>
        </w:rPr>
        <w:t>6</w:t>
      </w:r>
      <w:r>
        <w:rPr>
          <w:rFonts w:eastAsiaTheme="minorEastAsia"/>
          <w:b/>
        </w:rPr>
        <w:t xml:space="preserve"> – Nyquistův diagram systému s regulátorem</w:t>
      </w:r>
    </w:p>
    <w:p w:rsidR="007643A1" w:rsidRDefault="007643A1" w:rsidP="00F87987">
      <w:pPr>
        <w:rPr>
          <w:rFonts w:eastAsiaTheme="minorEastAsia"/>
        </w:rPr>
      </w:pPr>
    </w:p>
    <w:p w:rsidR="007643A1" w:rsidRDefault="009035F7" w:rsidP="00F87987">
      <w:pPr>
        <w:rPr>
          <w:rFonts w:eastAsiaTheme="minorEastAsia"/>
        </w:rPr>
      </w:pPr>
      <w:r>
        <w:rPr>
          <w:rFonts w:eastAsiaTheme="minorEastAsia"/>
        </w:rPr>
        <w:t>Na obrázku 7</w:t>
      </w:r>
      <w:r w:rsidR="001C2817">
        <w:rPr>
          <w:rFonts w:eastAsiaTheme="minorEastAsia"/>
        </w:rPr>
        <w:t xml:space="preserve"> je křivka pro Michailovo kritérium stability. Křivka prochází třemi kvadran</w:t>
      </w:r>
      <w:r w:rsidR="00A42747">
        <w:rPr>
          <w:rFonts w:eastAsiaTheme="minorEastAsia"/>
        </w:rPr>
        <w:t xml:space="preserve">ty, což je zároveň řád systému a obklopuje bod 0, </w:t>
      </w:r>
      <w:r w:rsidR="001C2817">
        <w:rPr>
          <w:rFonts w:eastAsiaTheme="minorEastAsia"/>
        </w:rPr>
        <w:t>proto je obvod stabilní.</w:t>
      </w:r>
    </w:p>
    <w:p w:rsidR="00E36FBB" w:rsidRDefault="00E36FBB" w:rsidP="00E36FB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38" type="#_x0000_t75" style="width:333.5pt;height:250pt">
            <v:imagedata r:id="rId11" o:title="7"/>
          </v:shape>
        </w:pict>
      </w:r>
    </w:p>
    <w:p w:rsidR="00E36FBB" w:rsidRPr="00D0618C" w:rsidRDefault="00E36FBB" w:rsidP="00E36FB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Obr</w:t>
      </w:r>
      <w:r w:rsidR="007029D9">
        <w:rPr>
          <w:rFonts w:eastAsiaTheme="minorEastAsia"/>
          <w:b/>
        </w:rPr>
        <w:t xml:space="preserve">. </w:t>
      </w:r>
      <w:r w:rsidR="009035F7">
        <w:rPr>
          <w:rFonts w:eastAsiaTheme="minorEastAsia"/>
          <w:b/>
        </w:rPr>
        <w:t>7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  <w:b/>
        </w:rPr>
        <w:t>Michailův</w:t>
      </w:r>
      <w:r>
        <w:rPr>
          <w:rFonts w:eastAsiaTheme="minorEastAsia"/>
          <w:b/>
        </w:rPr>
        <w:t xml:space="preserve"> diagram systému s regulátorem</w:t>
      </w:r>
    </w:p>
    <w:p w:rsidR="00E36FBB" w:rsidRDefault="00E36FBB" w:rsidP="00F87987">
      <w:pPr>
        <w:rPr>
          <w:rFonts w:eastAsiaTheme="minorEastAsia"/>
        </w:rPr>
      </w:pPr>
    </w:p>
    <w:p w:rsidR="00570379" w:rsidRDefault="00570379" w:rsidP="00F87987">
      <w:pPr>
        <w:rPr>
          <w:rFonts w:eastAsiaTheme="minorEastAsia"/>
        </w:rPr>
      </w:pPr>
      <w:r>
        <w:rPr>
          <w:rFonts w:eastAsiaTheme="minorEastAsia"/>
        </w:rPr>
        <w:t xml:space="preserve">Z obrázku </w:t>
      </w:r>
      <w:r w:rsidR="009035F7">
        <w:rPr>
          <w:rFonts w:eastAsiaTheme="minorEastAsia"/>
        </w:rPr>
        <w:t>8</w:t>
      </w:r>
      <w:r>
        <w:rPr>
          <w:rFonts w:eastAsiaTheme="minorEastAsia"/>
        </w:rPr>
        <w:t xml:space="preserve"> je patrné, že zásoba stability ve fázi je 73,8° při frekvenci 1,76 rad/s. Zásoba stability v amplitudě není určena, protože fáze nikdy není menší než -180°, resp. neprotne -180°.</w:t>
      </w:r>
      <w:r w:rsidR="0024499D">
        <w:rPr>
          <w:rFonts w:eastAsiaTheme="minorEastAsia"/>
        </w:rPr>
        <w:t xml:space="preserve"> </w:t>
      </w:r>
    </w:p>
    <w:p w:rsidR="00E36FBB" w:rsidRDefault="00CE7970" w:rsidP="00CE7970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40" type="#_x0000_t75" style="width:348.5pt;height:261.5pt">
            <v:imagedata r:id="rId12" o:title="5"/>
          </v:shape>
        </w:pict>
      </w:r>
    </w:p>
    <w:p w:rsidR="00CE7970" w:rsidRPr="00D0618C" w:rsidRDefault="00CE7970" w:rsidP="00CE797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Obr. </w:t>
      </w:r>
      <w:r w:rsidR="009035F7">
        <w:rPr>
          <w:rFonts w:eastAsiaTheme="minorEastAsia"/>
          <w:b/>
        </w:rPr>
        <w:t>8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  <w:b/>
        </w:rPr>
        <w:t>Zásoba stability ve fázi a amplitudě</w:t>
      </w:r>
    </w:p>
    <w:p w:rsidR="00CE7970" w:rsidRDefault="00CE7970" w:rsidP="00F87987">
      <w:pPr>
        <w:rPr>
          <w:rFonts w:eastAsiaTheme="minorEastAsia"/>
        </w:rPr>
      </w:pPr>
    </w:p>
    <w:p w:rsidR="00476D64" w:rsidRDefault="00476D64" w:rsidP="00F87987">
      <w:pPr>
        <w:rPr>
          <w:rFonts w:eastAsiaTheme="minorEastAsia"/>
        </w:rPr>
      </w:pPr>
    </w:p>
    <w:p w:rsidR="00476D64" w:rsidRDefault="00476D64" w:rsidP="00F87987">
      <w:pPr>
        <w:rPr>
          <w:rFonts w:eastAsiaTheme="minorEastAsia"/>
        </w:rPr>
      </w:pPr>
    </w:p>
    <w:p w:rsidR="00476D64" w:rsidRDefault="00476D64" w:rsidP="00476D64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50" type="#_x0000_t75" style="width:313.5pt;height:235.5pt">
            <v:imagedata r:id="rId13" o:title="8"/>
          </v:shape>
        </w:pict>
      </w:r>
    </w:p>
    <w:p w:rsidR="00476D64" w:rsidRPr="00D0618C" w:rsidRDefault="00476D64" w:rsidP="00476D6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Obr. </w:t>
      </w:r>
      <w:r w:rsidR="009035F7">
        <w:rPr>
          <w:rFonts w:eastAsiaTheme="minorEastAsia"/>
          <w:b/>
        </w:rPr>
        <w:t>9</w:t>
      </w:r>
      <w:r>
        <w:rPr>
          <w:rFonts w:eastAsiaTheme="minorEastAsia"/>
          <w:b/>
        </w:rPr>
        <w:t xml:space="preserve"> – </w:t>
      </w:r>
      <w:r w:rsidR="003F554D">
        <w:rPr>
          <w:rFonts w:eastAsiaTheme="minorEastAsia"/>
          <w:b/>
        </w:rPr>
        <w:t>Přechodová charakteristika</w:t>
      </w:r>
      <w:r w:rsidR="003F554D">
        <w:rPr>
          <w:rFonts w:eastAsiaTheme="minorEastAsia"/>
          <w:b/>
        </w:rPr>
        <w:t xml:space="preserve"> obvodu s</w:t>
      </w:r>
      <w:r w:rsidR="00560C8E">
        <w:rPr>
          <w:rFonts w:eastAsiaTheme="minorEastAsia"/>
          <w:b/>
        </w:rPr>
        <w:t> </w:t>
      </w:r>
      <w:proofErr w:type="gramStart"/>
      <w:r w:rsidR="00560C8E">
        <w:rPr>
          <w:rFonts w:eastAsiaTheme="minorEastAsia"/>
          <w:b/>
        </w:rPr>
        <w:t>uzavřenou f. b.</w:t>
      </w:r>
      <w:proofErr w:type="gramEnd"/>
    </w:p>
    <w:p w:rsidR="00E2388A" w:rsidRDefault="00E2388A" w:rsidP="00F87987">
      <w:pPr>
        <w:rPr>
          <w:rFonts w:eastAsiaTheme="minorEastAsia"/>
        </w:rPr>
      </w:pPr>
    </w:p>
    <w:p w:rsidR="007643A1" w:rsidRDefault="00C80498" w:rsidP="00F87987">
      <w:pPr>
        <w:rPr>
          <w:rFonts w:eastAsiaTheme="minorEastAsia"/>
        </w:rPr>
      </w:pPr>
      <w:r>
        <w:rPr>
          <w:rFonts w:eastAsiaTheme="minorEastAsia"/>
        </w:rPr>
        <w:t>Překmit doba ustálení doba náběhu</w:t>
      </w:r>
      <w:r w:rsidR="00713E86">
        <w:rPr>
          <w:rFonts w:eastAsiaTheme="minorEastAsia"/>
        </w:rPr>
        <w:t xml:space="preserve"> jsou patrné z obrázku </w:t>
      </w:r>
      <w:r w:rsidR="009035F7">
        <w:rPr>
          <w:rFonts w:eastAsiaTheme="minorEastAsia"/>
        </w:rPr>
        <w:t>9</w:t>
      </w:r>
      <w:r w:rsidR="00713E86">
        <w:rPr>
          <w:rFonts w:eastAsiaTheme="minorEastAsia"/>
        </w:rPr>
        <w:t xml:space="preserve"> – Přechodové charakteristiky obvodu s uzavřenou zpětnou vazbou. Hodnoty byly vypočítány pomocí </w:t>
      </w:r>
      <w:r w:rsidR="00713E86">
        <w:rPr>
          <w:rFonts w:eastAsiaTheme="minorEastAsia"/>
        </w:rPr>
        <w:t xml:space="preserve">fce </w:t>
      </w:r>
      <w:r w:rsid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>stepinfo</w:t>
      </w:r>
      <w:r w:rsidR="00713E86"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 w:rsidR="00713E86">
        <w:rPr>
          <w:rFonts w:eastAsiaTheme="minorEastAsia"/>
        </w:rPr>
        <w:t>:</w:t>
      </w:r>
    </w:p>
    <w:p w:rsidR="00020499" w:rsidRPr="00713E86" w:rsidRDefault="00020499" w:rsidP="00713E86">
      <w:pPr>
        <w:spacing w:after="0"/>
        <w:rPr>
          <w:rFonts w:ascii="Consolas" w:eastAsiaTheme="minorEastAsia" w:hAnsi="Consolas"/>
          <w:color w:val="2F5496" w:themeColor="accent5" w:themeShade="BF"/>
          <w:sz w:val="18"/>
          <w:szCs w:val="18"/>
        </w:rPr>
      </w:pPr>
      <w:r w:rsidRP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>RiseTime: 0.8928</w:t>
      </w:r>
      <w:r w:rsid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 xml:space="preserve"> s</w:t>
      </w:r>
    </w:p>
    <w:p w:rsidR="00F92F53" w:rsidRPr="00713E86" w:rsidRDefault="00F92F53" w:rsidP="00713E86">
      <w:pPr>
        <w:spacing w:after="0"/>
        <w:rPr>
          <w:rFonts w:ascii="Consolas" w:eastAsiaTheme="minorEastAsia" w:hAnsi="Consolas"/>
          <w:color w:val="2F5496" w:themeColor="accent5" w:themeShade="BF"/>
          <w:sz w:val="18"/>
          <w:szCs w:val="18"/>
        </w:rPr>
      </w:pPr>
      <w:r w:rsidRP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>SettlingTime: 3.2723</w:t>
      </w:r>
      <w:r w:rsid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 xml:space="preserve"> s</w:t>
      </w:r>
    </w:p>
    <w:p w:rsidR="00F92F53" w:rsidRPr="00713E86" w:rsidRDefault="00F92F53" w:rsidP="00713E86">
      <w:pPr>
        <w:spacing w:after="0"/>
        <w:rPr>
          <w:rFonts w:ascii="Consolas" w:eastAsiaTheme="minorEastAsia" w:hAnsi="Consolas"/>
          <w:color w:val="2F5496" w:themeColor="accent5" w:themeShade="BF"/>
          <w:sz w:val="18"/>
          <w:szCs w:val="18"/>
        </w:rPr>
      </w:pPr>
      <w:r w:rsidRP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 xml:space="preserve">Overshoot: </w:t>
      </w:r>
      <w:r w:rsid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>0.0</w:t>
      </w:r>
      <w:r w:rsidRP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>5</w:t>
      </w:r>
      <w:r w:rsidR="00713E86">
        <w:rPr>
          <w:rFonts w:ascii="Consolas" w:eastAsiaTheme="minorEastAsia" w:hAnsi="Consolas"/>
          <w:color w:val="2F5496" w:themeColor="accent5" w:themeShade="BF"/>
          <w:sz w:val="18"/>
          <w:szCs w:val="18"/>
        </w:rPr>
        <w:t>98</w:t>
      </w:r>
    </w:p>
    <w:p w:rsidR="00B079C0" w:rsidRDefault="00B079C0" w:rsidP="007643A1">
      <w:pPr>
        <w:rPr>
          <w:rFonts w:eastAsiaTheme="minorEastAsia"/>
          <w:b/>
          <w:color w:val="2F5496" w:themeColor="accent5" w:themeShade="BF"/>
        </w:rPr>
      </w:pPr>
    </w:p>
    <w:p w:rsidR="00B079C0" w:rsidRDefault="00B079C0" w:rsidP="00B079C0">
      <w:pPr>
        <w:rPr>
          <w:rFonts w:eastAsiaTheme="minorEastAsia"/>
          <w:b/>
          <w:color w:val="2F5496" w:themeColor="accent5" w:themeShade="BF"/>
        </w:rPr>
      </w:pPr>
      <w:r w:rsidRPr="000F5CF2">
        <w:rPr>
          <w:rFonts w:eastAsiaTheme="minorEastAsia"/>
          <w:b/>
          <w:color w:val="2F5496" w:themeColor="accent5" w:themeShade="BF"/>
        </w:rPr>
        <w:t xml:space="preserve">Ad </w:t>
      </w:r>
      <w:r>
        <w:rPr>
          <w:rFonts w:eastAsiaTheme="minorEastAsia"/>
          <w:b/>
          <w:color w:val="2F5496" w:themeColor="accent5" w:themeShade="BF"/>
        </w:rPr>
        <w:t>E</w:t>
      </w:r>
      <w:r w:rsidRPr="000F5CF2">
        <w:rPr>
          <w:rFonts w:eastAsiaTheme="minorEastAsia"/>
          <w:b/>
          <w:color w:val="2F5496" w:themeColor="accent5" w:themeShade="BF"/>
        </w:rPr>
        <w:t>)</w:t>
      </w:r>
    </w:p>
    <w:p w:rsidR="00F61606" w:rsidRDefault="00F61606" w:rsidP="007643A1">
      <w:pPr>
        <w:rPr>
          <w:rFonts w:eastAsiaTheme="minorEastAsia"/>
        </w:rPr>
      </w:pPr>
      <w:r w:rsidRPr="00F61606">
        <w:rPr>
          <w:rFonts w:eastAsiaTheme="minorEastAsia"/>
          <w:i/>
        </w:rPr>
        <w:t>Vypočtěte numericky hodnotu integrálního kvadratického kritéria a kritéria ITAE, ověřte ve vybraném simulačním software.</w:t>
      </w:r>
    </w:p>
    <w:p w:rsidR="00F61606" w:rsidRDefault="00A42747" w:rsidP="007643A1">
      <w:pPr>
        <w:rPr>
          <w:rFonts w:eastAsiaTheme="minorEastAsia"/>
        </w:rPr>
      </w:pPr>
      <w:r>
        <w:rPr>
          <w:rFonts w:eastAsiaTheme="minorEastAsia"/>
        </w:rPr>
        <w:t>Kritéria kvality regulace byly vypočteny následovně: Pro kvadratické kritérium:</w:t>
      </w:r>
    </w:p>
    <w:p w:rsidR="00A42747" w:rsidRPr="002E6B74" w:rsidRDefault="002E6B74" w:rsidP="007643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0.3042</m:t>
          </m:r>
        </m:oMath>
      </m:oMathPara>
    </w:p>
    <w:p w:rsidR="002E6B74" w:rsidRDefault="002E6B74" w:rsidP="007643A1">
      <w:pPr>
        <w:rPr>
          <w:rFonts w:eastAsiaTheme="minorEastAsia"/>
        </w:rPr>
      </w:pPr>
      <w:r>
        <w:rPr>
          <w:rFonts w:eastAsiaTheme="minorEastAsia"/>
        </w:rPr>
        <w:t>Pro ITAE:</w:t>
      </w:r>
    </w:p>
    <w:p w:rsidR="002E6B74" w:rsidRPr="00F5633D" w:rsidRDefault="002E6B74" w:rsidP="002E6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ITAE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∙t∙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0.4032</m:t>
          </m:r>
        </m:oMath>
      </m:oMathPara>
    </w:p>
    <w:p w:rsidR="00F5633D" w:rsidRPr="002E6B74" w:rsidRDefault="002D75F3" w:rsidP="002E6B74">
      <w:pPr>
        <w:rPr>
          <w:rFonts w:eastAsiaTheme="minorEastAsia"/>
        </w:rPr>
      </w:pPr>
      <w:r>
        <w:rPr>
          <w:rFonts w:eastAsiaTheme="minorEastAsia"/>
        </w:rPr>
        <w:t>Kde e je průběh regulační odchylky</w:t>
      </w:r>
      <w:r w:rsidR="009035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9035F7">
        <w:rPr>
          <w:rFonts w:eastAsiaTheme="minorEastAsia"/>
        </w:rPr>
        <w:t>pro tento systém</w:t>
      </w:r>
      <w:r>
        <w:rPr>
          <w:rFonts w:eastAsiaTheme="minorEastAsia"/>
        </w:rPr>
        <w:t xml:space="preserve">. </w:t>
      </w:r>
      <w:r w:rsidR="00115780">
        <w:rPr>
          <w:rFonts w:eastAsiaTheme="minorEastAsia"/>
        </w:rPr>
        <w:t xml:space="preserve">Při praktickém výpočtu byla místo integrace použita suma, viz zdrojový </w:t>
      </w:r>
      <w:proofErr w:type="gramStart"/>
      <w:r w:rsidR="00115780">
        <w:rPr>
          <w:rFonts w:eastAsiaTheme="minorEastAsia"/>
        </w:rPr>
        <w:t>kód .m.</w:t>
      </w:r>
      <w:proofErr w:type="gramEnd"/>
    </w:p>
    <w:p w:rsidR="002E6B74" w:rsidRDefault="00A97183" w:rsidP="007643A1">
      <w:pPr>
        <w:rPr>
          <w:rFonts w:eastAsiaTheme="minorEastAsia"/>
        </w:rPr>
      </w:pPr>
      <w:r>
        <w:rPr>
          <w:rFonts w:eastAsiaTheme="minorEastAsia"/>
        </w:rPr>
        <w:t>Na obrázku 10 je simulační schéma pro výpočet těchto kritéri</w:t>
      </w:r>
      <w:r w:rsidR="004B251C">
        <w:rPr>
          <w:rFonts w:eastAsiaTheme="minorEastAsia"/>
        </w:rPr>
        <w:t>í</w:t>
      </w:r>
      <w:r>
        <w:rPr>
          <w:rFonts w:eastAsiaTheme="minorEastAsia"/>
        </w:rPr>
        <w:t xml:space="preserve"> numericky.</w:t>
      </w:r>
    </w:p>
    <w:p w:rsidR="00A97183" w:rsidRDefault="00D80182" w:rsidP="00B45B5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77" type="#_x0000_t75" style="width:453.5pt;height:396pt">
            <v:imagedata r:id="rId14" o:title="Ik_ITAE"/>
          </v:shape>
        </w:pict>
      </w:r>
    </w:p>
    <w:p w:rsidR="00A97183" w:rsidRDefault="00A97183" w:rsidP="00A97183">
      <w:pPr>
        <w:jc w:val="center"/>
        <w:rPr>
          <w:rFonts w:eastAsiaTheme="minorEastAsia"/>
        </w:rPr>
      </w:pPr>
      <w:r>
        <w:rPr>
          <w:rFonts w:eastAsiaTheme="minorEastAsia"/>
          <w:b/>
        </w:rPr>
        <w:t>Obr. 1</w:t>
      </w:r>
      <w:r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  <w:b/>
        </w:rPr>
        <w:t>Integrální kritérium a ITAE numericky</w:t>
      </w:r>
    </w:p>
    <w:p w:rsidR="00F61606" w:rsidRDefault="00F61606" w:rsidP="007643A1">
      <w:pPr>
        <w:rPr>
          <w:rFonts w:eastAsiaTheme="minorEastAsia"/>
        </w:rPr>
      </w:pPr>
    </w:p>
    <w:p w:rsidR="00E37163" w:rsidRPr="00F61606" w:rsidRDefault="00E37163" w:rsidP="007643A1">
      <w:pPr>
        <w:rPr>
          <w:rFonts w:eastAsiaTheme="minorEastAsia"/>
        </w:rPr>
      </w:pPr>
      <w:r>
        <w:rPr>
          <w:rFonts w:eastAsiaTheme="minorEastAsia"/>
        </w:rPr>
        <w:t>Výstupy obou metod jsou velmi podobné – pouze je jiný časový krok a tím i jiná přesnost numerické metody.</w:t>
      </w:r>
      <w:bookmarkStart w:id="0" w:name="_GoBack"/>
      <w:bookmarkEnd w:id="0"/>
    </w:p>
    <w:p w:rsidR="00E2388A" w:rsidRDefault="00E2388A">
      <w:pPr>
        <w:rPr>
          <w:rFonts w:eastAsiaTheme="minorEastAsia"/>
          <w:b/>
          <w:color w:val="2F5496" w:themeColor="accent5" w:themeShade="BF"/>
        </w:rPr>
      </w:pPr>
      <w:r>
        <w:rPr>
          <w:rFonts w:eastAsiaTheme="minorEastAsia"/>
          <w:b/>
          <w:color w:val="2F5496" w:themeColor="accent5" w:themeShade="BF"/>
        </w:rPr>
        <w:br w:type="page"/>
      </w:r>
    </w:p>
    <w:p w:rsidR="00B079C0" w:rsidRDefault="00B079C0" w:rsidP="00B079C0">
      <w:pPr>
        <w:rPr>
          <w:rFonts w:eastAsiaTheme="minorEastAsia"/>
          <w:b/>
          <w:color w:val="2F5496" w:themeColor="accent5" w:themeShade="BF"/>
        </w:rPr>
      </w:pPr>
      <w:r w:rsidRPr="000F5CF2">
        <w:rPr>
          <w:rFonts w:eastAsiaTheme="minorEastAsia"/>
          <w:b/>
          <w:color w:val="2F5496" w:themeColor="accent5" w:themeShade="BF"/>
        </w:rPr>
        <w:lastRenderedPageBreak/>
        <w:t xml:space="preserve">Ad </w:t>
      </w:r>
      <w:r>
        <w:rPr>
          <w:rFonts w:eastAsiaTheme="minorEastAsia"/>
          <w:b/>
          <w:color w:val="2F5496" w:themeColor="accent5" w:themeShade="BF"/>
        </w:rPr>
        <w:t>F</w:t>
      </w:r>
      <w:r w:rsidRPr="000F5CF2">
        <w:rPr>
          <w:rFonts w:eastAsiaTheme="minorEastAsia"/>
          <w:b/>
          <w:color w:val="2F5496" w:themeColor="accent5" w:themeShade="BF"/>
        </w:rPr>
        <w:t>)</w:t>
      </w:r>
    </w:p>
    <w:p w:rsidR="00B079C0" w:rsidRDefault="00F61606" w:rsidP="007643A1">
      <w:pPr>
        <w:rPr>
          <w:rFonts w:eastAsiaTheme="minorEastAsia"/>
        </w:rPr>
      </w:pPr>
      <w:r w:rsidRPr="00F61606">
        <w:rPr>
          <w:rFonts w:eastAsiaTheme="minorEastAsia"/>
          <w:i/>
        </w:rPr>
        <w:t>Uložte si průběh frekvenční charakteristiky lineárního systému. Na základě těchto dat numericky vypočtěte a vykreslete přechodovou charakteristiku. Pozn.: v případě identifikace astatické soustavy identifikujte nejdříve derivaci přechodové charakteristiky, poté zpětnou integrací získáte identifikovaný průběh původního systému.</w:t>
      </w:r>
    </w:p>
    <w:p w:rsidR="00F61606" w:rsidRDefault="00F61606" w:rsidP="007643A1">
      <w:pPr>
        <w:rPr>
          <w:rFonts w:eastAsiaTheme="minorEastAsia"/>
        </w:rPr>
      </w:pPr>
    </w:p>
    <w:p w:rsidR="00F61606" w:rsidRDefault="0038551C" w:rsidP="00AB3C67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45" type="#_x0000_t75" style="width:347pt;height:260.5pt">
            <v:imagedata r:id="rId15" o:title="9"/>
          </v:shape>
        </w:pict>
      </w:r>
    </w:p>
    <w:p w:rsidR="00476D64" w:rsidRPr="00D0618C" w:rsidRDefault="00476D64" w:rsidP="00476D6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Obr. </w:t>
      </w:r>
      <w:r w:rsidR="00171565">
        <w:rPr>
          <w:rFonts w:eastAsiaTheme="minorEastAsia"/>
          <w:b/>
        </w:rPr>
        <w:t>11</w:t>
      </w:r>
      <w:r>
        <w:rPr>
          <w:rFonts w:eastAsiaTheme="minorEastAsia"/>
          <w:b/>
        </w:rPr>
        <w:t xml:space="preserve"> – Zásoba stability ve fázi a amplitudě</w:t>
      </w:r>
    </w:p>
    <w:p w:rsidR="00476D64" w:rsidRDefault="00476D64" w:rsidP="007643A1">
      <w:pPr>
        <w:rPr>
          <w:rFonts w:eastAsiaTheme="minorEastAsia"/>
        </w:rPr>
      </w:pPr>
    </w:p>
    <w:p w:rsidR="007B72E2" w:rsidRDefault="007B72E2" w:rsidP="007B72E2">
      <w:pPr>
        <w:rPr>
          <w:rFonts w:eastAsiaTheme="minorEastAsia"/>
        </w:rPr>
      </w:pPr>
      <w:r>
        <w:rPr>
          <w:rFonts w:eastAsiaTheme="minorEastAsia"/>
        </w:rPr>
        <w:t xml:space="preserve">Průběh frekvenční charakteristiky (po složkách komplexních čísel) byl uložen pomocí </w:t>
      </w:r>
      <w:r>
        <w:rPr>
          <w:rFonts w:eastAsiaTheme="minorEastAsia"/>
        </w:rPr>
        <w:t xml:space="preserve">fce 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 xml:space="preserve">[Re Im Omega] = </w:t>
      </w:r>
      <w:r w:rsidR="00CE5A0B">
        <w:rPr>
          <w:rFonts w:ascii="Consolas" w:eastAsiaTheme="minorEastAsia" w:hAnsi="Consolas"/>
          <w:color w:val="2F5496" w:themeColor="accent5" w:themeShade="BF"/>
          <w:sz w:val="18"/>
          <w:szCs w:val="18"/>
        </w:rPr>
        <w:t>n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yquist</w:t>
      </w:r>
      <w:r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(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sys</w:t>
      </w:r>
      <w:r w:rsidRPr="005B2B73">
        <w:rPr>
          <w:rFonts w:ascii="Consolas" w:eastAsiaTheme="minorEastAsia" w:hAnsi="Consolas"/>
          <w:color w:val="2F5496" w:themeColor="accent5" w:themeShade="BF"/>
          <w:sz w:val="18"/>
          <w:szCs w:val="18"/>
        </w:rPr>
        <w:t>)</w:t>
      </w:r>
      <w:r>
        <w:rPr>
          <w:rFonts w:eastAsiaTheme="minorEastAsia"/>
        </w:rPr>
        <w:t>.</w:t>
      </w:r>
      <w:r w:rsidR="002A13D2">
        <w:rPr>
          <w:rFonts w:eastAsiaTheme="minorEastAsia"/>
        </w:rPr>
        <w:t xml:space="preserve"> Zpětná rekonstrukce byla provedena pomocí zpětné fourierovy transformace</w:t>
      </w:r>
      <w:r w:rsidR="00A5378A">
        <w:rPr>
          <w:rFonts w:eastAsiaTheme="minorEastAsia"/>
        </w:rPr>
        <w:t>, kterou byl získá</w:t>
      </w:r>
      <w:r w:rsidR="00571E5C">
        <w:rPr>
          <w:rFonts w:eastAsiaTheme="minorEastAsia"/>
        </w:rPr>
        <w:t>n</w:t>
      </w:r>
      <w:r w:rsidR="00A5378A">
        <w:rPr>
          <w:rFonts w:eastAsiaTheme="minorEastAsia"/>
        </w:rPr>
        <w:t xml:space="preserve"> průběh </w:t>
      </w:r>
      <w:r w:rsidR="00A5378A">
        <w:rPr>
          <w:rFonts w:eastAsiaTheme="minorEastAsia"/>
          <w:b/>
        </w:rPr>
        <w:t>impulzové charakteristiky</w:t>
      </w:r>
      <w:r w:rsidR="00A5378A">
        <w:rPr>
          <w:rFonts w:eastAsiaTheme="minorEastAsia"/>
        </w:rPr>
        <w:t>,</w:t>
      </w:r>
      <w:r w:rsidR="002A13D2">
        <w:rPr>
          <w:rFonts w:eastAsiaTheme="minorEastAsia"/>
        </w:rPr>
        <w:t xml:space="preserve"> podle vzorce:</w:t>
      </w:r>
    </w:p>
    <w:p w:rsidR="002A13D2" w:rsidRPr="00571E5C" w:rsidRDefault="00A5378A" w:rsidP="007B72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F(ω)∙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∙dω</m:t>
              </m:r>
            </m:e>
          </m:nary>
        </m:oMath>
      </m:oMathPara>
    </w:p>
    <w:p w:rsidR="00571E5C" w:rsidRDefault="00571E5C" w:rsidP="007B72E2">
      <w:pPr>
        <w:rPr>
          <w:rFonts w:eastAsiaTheme="minorEastAsia"/>
        </w:rPr>
      </w:pPr>
      <w:r w:rsidRPr="00571E5C">
        <w:rPr>
          <w:rFonts w:eastAsiaTheme="minorEastAsia"/>
          <w:b/>
        </w:rPr>
        <w:t>Přechodová</w:t>
      </w:r>
      <w:r>
        <w:rPr>
          <w:rFonts w:eastAsiaTheme="minorEastAsia"/>
        </w:rPr>
        <w:t xml:space="preserve"> </w:t>
      </w:r>
      <w:r w:rsidRPr="00571E5C">
        <w:rPr>
          <w:rFonts w:eastAsiaTheme="minorEastAsia"/>
          <w:b/>
        </w:rPr>
        <w:t>charakteristika</w:t>
      </w:r>
      <w:r w:rsidR="00171565">
        <w:rPr>
          <w:rFonts w:eastAsiaTheme="minorEastAsia"/>
        </w:rPr>
        <w:t>, viz obr. 11</w:t>
      </w:r>
      <w:r w:rsidR="00E83B18">
        <w:rPr>
          <w:rFonts w:eastAsiaTheme="minorEastAsia"/>
        </w:rPr>
        <w:t xml:space="preserve"> :: červená</w:t>
      </w:r>
      <w:r w:rsidR="00171565">
        <w:rPr>
          <w:rFonts w:eastAsiaTheme="minorEastAsia"/>
        </w:rPr>
        <w:t>,</w:t>
      </w:r>
      <w:r>
        <w:rPr>
          <w:rFonts w:eastAsiaTheme="minorEastAsia"/>
        </w:rPr>
        <w:t xml:space="preserve"> byla získána pomocí </w:t>
      </w:r>
      <w:r w:rsidRPr="00571E5C">
        <w:rPr>
          <w:rFonts w:eastAsiaTheme="minorEastAsia"/>
        </w:rPr>
        <w:t xml:space="preserve">integrace </w:t>
      </w:r>
      <w:r w:rsidRPr="00571E5C">
        <w:rPr>
          <w:rFonts w:eastAsiaTheme="minorEastAsia"/>
        </w:rPr>
        <w:t>impulzové charakteristiky</w:t>
      </w:r>
      <w:r>
        <w:rPr>
          <w:rFonts w:eastAsiaTheme="minorEastAsia"/>
        </w:rPr>
        <w:t>:</w:t>
      </w:r>
    </w:p>
    <w:p w:rsidR="00571E5C" w:rsidRDefault="00571E5C" w:rsidP="007B72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g(t)∙dt</m:t>
              </m:r>
            </m:e>
          </m:nary>
        </m:oMath>
      </m:oMathPara>
    </w:p>
    <w:p w:rsidR="00CE5A0B" w:rsidRDefault="00CE5A0B" w:rsidP="007B72E2">
      <w:pPr>
        <w:rPr>
          <w:rFonts w:eastAsiaTheme="minorEastAsia"/>
        </w:rPr>
      </w:pPr>
      <w:r>
        <w:rPr>
          <w:rFonts w:eastAsiaTheme="minorEastAsia"/>
        </w:rPr>
        <w:t xml:space="preserve">Poznámka: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očekává frekvenční složky i pro záporné frekvence, které fce 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nyquist</w:t>
      </w:r>
      <w:r>
        <w:rPr>
          <w:rFonts w:ascii="Consolas" w:eastAsiaTheme="minorEastAsia" w:hAnsi="Consolas"/>
          <w:color w:val="2F5496" w:themeColor="accent5" w:themeShade="BF"/>
          <w:sz w:val="18"/>
          <w:szCs w:val="18"/>
        </w:rPr>
        <w:t>()</w:t>
      </w:r>
      <w:r>
        <w:rPr>
          <w:rFonts w:eastAsiaTheme="minorEastAsia"/>
        </w:rPr>
        <w:t xml:space="preserve"> nevrací. </w:t>
      </w:r>
      <w:r w:rsidR="009256DF">
        <w:rPr>
          <w:rFonts w:eastAsiaTheme="minorEastAsia"/>
        </w:rPr>
        <w:t>Tyto složky mají stejnou amplitudu a opačnou fázi (ta se vyruší z kladnou složkou téže frekvence). Proto bylo použito dvojí integrace s uměle „vyrobenými“ zápornými složkami.</w:t>
      </w:r>
      <w:r w:rsidR="006249B9">
        <w:rPr>
          <w:rFonts w:eastAsiaTheme="minorEastAsia"/>
        </w:rPr>
        <w:t xml:space="preserve"> Poté sečteno.</w:t>
      </w:r>
    </w:p>
    <w:p w:rsidR="007B72E2" w:rsidRDefault="007B72E2" w:rsidP="007643A1">
      <w:pPr>
        <w:rPr>
          <w:rFonts w:eastAsiaTheme="minorEastAsia"/>
        </w:rPr>
      </w:pPr>
    </w:p>
    <w:p w:rsidR="00E2388A" w:rsidRDefault="00E2388A">
      <w:pPr>
        <w:rPr>
          <w:rFonts w:eastAsiaTheme="minorEastAsia"/>
          <w:b/>
          <w:color w:val="2F5496" w:themeColor="accent5" w:themeShade="BF"/>
        </w:rPr>
      </w:pPr>
      <w:r>
        <w:rPr>
          <w:rFonts w:eastAsiaTheme="minorEastAsia"/>
          <w:b/>
          <w:color w:val="2F5496" w:themeColor="accent5" w:themeShade="BF"/>
        </w:rPr>
        <w:br w:type="page"/>
      </w:r>
    </w:p>
    <w:p w:rsidR="007643A1" w:rsidRDefault="007643A1" w:rsidP="007643A1">
      <w:pPr>
        <w:rPr>
          <w:rFonts w:eastAsiaTheme="minorEastAsia"/>
          <w:b/>
          <w:color w:val="2F5496" w:themeColor="accent5" w:themeShade="BF"/>
        </w:rPr>
      </w:pPr>
      <w:r w:rsidRPr="000F5CF2">
        <w:rPr>
          <w:rFonts w:eastAsiaTheme="minorEastAsia"/>
          <w:b/>
          <w:color w:val="2F5496" w:themeColor="accent5" w:themeShade="BF"/>
        </w:rPr>
        <w:lastRenderedPageBreak/>
        <w:t xml:space="preserve">Ad </w:t>
      </w:r>
      <w:r>
        <w:rPr>
          <w:rFonts w:eastAsiaTheme="minorEastAsia"/>
          <w:b/>
          <w:color w:val="2F5496" w:themeColor="accent5" w:themeShade="BF"/>
        </w:rPr>
        <w:t>G</w:t>
      </w:r>
      <w:r w:rsidRPr="000F5CF2">
        <w:rPr>
          <w:rFonts w:eastAsiaTheme="minorEastAsia"/>
          <w:b/>
          <w:color w:val="2F5496" w:themeColor="accent5" w:themeShade="BF"/>
        </w:rPr>
        <w:t>)</w:t>
      </w:r>
    </w:p>
    <w:p w:rsidR="007643A1" w:rsidRPr="000009AD" w:rsidRDefault="007643A1" w:rsidP="007643A1">
      <w:pPr>
        <w:rPr>
          <w:rFonts w:eastAsiaTheme="minorEastAsia"/>
          <w:i/>
        </w:rPr>
      </w:pPr>
      <w:r w:rsidRPr="000009AD">
        <w:rPr>
          <w:rFonts w:eastAsiaTheme="minorEastAsia"/>
          <w:i/>
        </w:rPr>
        <w:t>Diskretizujte PID regulátor s vhodnou periodou vzorkování, namodelujte průběh regulované veličiny. Porovnejte v jednom grafu průběhy regulovaných veličin při regulaci se spojitým a diskrétním regulátorem.</w:t>
      </w:r>
    </w:p>
    <w:p w:rsidR="007643A1" w:rsidRDefault="007643A1" w:rsidP="007643A1">
      <w:pPr>
        <w:rPr>
          <w:rFonts w:eastAsiaTheme="minorEastAsia"/>
        </w:rPr>
      </w:pPr>
      <w:r>
        <w:rPr>
          <w:rFonts w:eastAsiaTheme="minorEastAsia"/>
        </w:rPr>
        <w:t>Parametry PID: P=22,8; I=29,7; D=4,22.</w:t>
      </w:r>
    </w:p>
    <w:p w:rsidR="007643A1" w:rsidRDefault="007643A1" w:rsidP="007643A1">
      <w:pPr>
        <w:rPr>
          <w:rFonts w:eastAsiaTheme="minorEastAsia"/>
        </w:rPr>
      </w:pPr>
      <w:r>
        <w:rPr>
          <w:rFonts w:eastAsiaTheme="minorEastAsia"/>
        </w:rPr>
        <w:t>Pro sériovou formu:</w:t>
      </w:r>
    </w:p>
    <w:p w:rsidR="007643A1" w:rsidRPr="00925F82" w:rsidRDefault="007643A1" w:rsidP="007643A1">
      <w:pPr>
        <w:pStyle w:val="Odstavecsesezname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4,22</m:t>
              </m:r>
            </m:num>
            <m:den>
              <m:r>
                <w:rPr>
                  <w:rFonts w:ascii="Cambria Math" w:hAnsi="Cambria Math"/>
                </w:rPr>
                <m:t>22,8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1853</m:t>
          </m:r>
        </m:oMath>
      </m:oMathPara>
    </w:p>
    <w:p w:rsidR="007643A1" w:rsidRPr="007643A1" w:rsidRDefault="007643A1" w:rsidP="007643A1">
      <w:pPr>
        <w:pStyle w:val="Odstavecsesezname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22,8</m:t>
              </m:r>
            </m:num>
            <m:den>
              <m:r>
                <w:rPr>
                  <w:rFonts w:ascii="Cambria Math" w:hAnsi="Cambria Math"/>
                </w:rPr>
                <m:t>29,7</m:t>
              </m:r>
            </m:den>
          </m:f>
          <m:r>
            <w:rPr>
              <w:rFonts w:ascii="Cambria Math" w:eastAsiaTheme="minorEastAsia" w:hAnsi="Cambria Math"/>
            </w:rPr>
            <m:t>=0,7662</m:t>
          </m:r>
        </m:oMath>
      </m:oMathPara>
    </w:p>
    <w:p w:rsidR="007643A1" w:rsidRPr="00025918" w:rsidRDefault="007643A1" w:rsidP="007643A1">
      <w:pPr>
        <w:pStyle w:val="Odstavecsesezname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=P=22,8</m:t>
          </m:r>
        </m:oMath>
      </m:oMathPara>
    </w:p>
    <w:p w:rsidR="00582098" w:rsidRPr="00582098" w:rsidRDefault="00582098" w:rsidP="00582098">
      <w:pPr>
        <w:rPr>
          <w:rFonts w:eastAsiaTheme="minorEastAsia"/>
        </w:rPr>
      </w:pPr>
      <w:r w:rsidRPr="00582098">
        <w:rPr>
          <w:rFonts w:eastAsiaTheme="minorEastAsia"/>
        </w:rPr>
        <w:t>Vzorkování volím 10x menší</w:t>
      </w:r>
      <w:r w:rsidR="00FC6B7F">
        <w:rPr>
          <w:rFonts w:eastAsiaTheme="minorEastAsia"/>
        </w:rPr>
        <w:t xml:space="preserve"> než nejmenší kořen jmenovatele (časová konstanta soustavy)</w:t>
      </w:r>
      <w:r w:rsidRPr="00582098">
        <w:rPr>
          <w:rFonts w:eastAsiaTheme="minorEastAsia"/>
        </w:rPr>
        <w:t>: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=0,1 s</m:t>
          </m:r>
        </m:oMath>
      </m:oMathPara>
    </w:p>
    <w:p w:rsidR="007643A1" w:rsidRDefault="007643A1" w:rsidP="007643A1">
      <w:pPr>
        <w:rPr>
          <w:rFonts w:eastAsiaTheme="minorEastAsia"/>
        </w:rPr>
      </w:pPr>
    </w:p>
    <w:p w:rsidR="007643A1" w:rsidRDefault="004F2D8E" w:rsidP="00F87987">
      <w:pPr>
        <w:rPr>
          <w:rFonts w:eastAsiaTheme="minorEastAsia"/>
        </w:rPr>
      </w:pPr>
      <w:r>
        <w:rPr>
          <w:rFonts w:eastAsiaTheme="minorEastAsia"/>
        </w:rPr>
        <w:t>Převod na PSD (diskretizovaný PID):</w:t>
      </w:r>
    </w:p>
    <w:p w:rsidR="004F2D8E" w:rsidRPr="001802A8" w:rsidRDefault="004F2D8E" w:rsidP="004F2D8E">
      <w:pPr>
        <w:pStyle w:val="Odstavecsesezname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67,8894</m:t>
          </m:r>
        </m:oMath>
      </m:oMathPara>
    </w:p>
    <w:p w:rsidR="004F2D8E" w:rsidRPr="00925F82" w:rsidRDefault="004F2D8E" w:rsidP="004F2D8E">
      <w:pPr>
        <w:pStyle w:val="Odstavecsesezname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107,0805</m:t>
          </m:r>
        </m:oMath>
      </m:oMathPara>
    </w:p>
    <w:p w:rsidR="004F2D8E" w:rsidRPr="00E61D74" w:rsidRDefault="004F2D8E" w:rsidP="004F2D8E">
      <w:pPr>
        <w:pStyle w:val="Odstavecsesezname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42,1614</m:t>
          </m:r>
        </m:oMath>
      </m:oMathPara>
    </w:p>
    <w:p w:rsidR="004F2D8E" w:rsidRDefault="00FA1569" w:rsidP="00F87987">
      <w:pPr>
        <w:rPr>
          <w:rFonts w:eastAsiaTheme="minorEastAsia"/>
        </w:rPr>
      </w:pPr>
      <w:r>
        <w:rPr>
          <w:rFonts w:eastAsiaTheme="minorEastAsia"/>
        </w:rPr>
        <w:t>Přenos:</w:t>
      </w:r>
    </w:p>
    <w:p w:rsidR="00FA1569" w:rsidRPr="002165CD" w:rsidRDefault="00FA1569" w:rsidP="00F879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67,8894-107,0805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+42,1614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:rsidR="002165CD" w:rsidRDefault="007D20AA" w:rsidP="00F87987">
      <w:pPr>
        <w:rPr>
          <w:rFonts w:eastAsiaTheme="minorEastAsia"/>
        </w:rPr>
      </w:pPr>
      <w:r>
        <w:rPr>
          <w:rFonts w:eastAsiaTheme="minorEastAsia"/>
        </w:rPr>
        <w:t>Stavová rovnice:</w:t>
      </w:r>
    </w:p>
    <w:p w:rsidR="007D20AA" w:rsidRPr="00FB569D" w:rsidRDefault="007D20AA" w:rsidP="007D20AA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67,8894E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-107,0805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+42,1614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FB569D" w:rsidRDefault="000D502C" w:rsidP="00FB569D">
      <w:pPr>
        <w:rPr>
          <w:rFonts w:eastAsiaTheme="minorEastAsia"/>
        </w:rPr>
      </w:pPr>
      <w:r>
        <w:rPr>
          <w:rFonts w:eastAsiaTheme="minorEastAsia"/>
        </w:rPr>
        <w:t>Zpětnou Z transformací dostanu rovnici v časovém prostoru, pro akční veličinu:</w:t>
      </w:r>
    </w:p>
    <w:p w:rsidR="000D502C" w:rsidRDefault="000D502C" w:rsidP="00FB56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67,8894e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-107,0805e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+42,1614e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-u(k-1)</m:t>
          </m:r>
        </m:oMath>
      </m:oMathPara>
    </w:p>
    <w:p w:rsidR="000D502C" w:rsidRPr="00C6067E" w:rsidRDefault="00FA1EF2" w:rsidP="000D50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67,8894e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-107,0805e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+42,1614e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u(k-1)</m:t>
          </m:r>
        </m:oMath>
      </m:oMathPara>
    </w:p>
    <w:p w:rsidR="00C6067E" w:rsidRDefault="00C6067E" w:rsidP="000D502C">
      <w:pPr>
        <w:rPr>
          <w:rFonts w:eastAsiaTheme="minorEastAsia"/>
        </w:rPr>
      </w:pPr>
    </w:p>
    <w:p w:rsidR="00C6067E" w:rsidRDefault="002C22D4" w:rsidP="000D502C">
      <w:pPr>
        <w:rPr>
          <w:rFonts w:eastAsiaTheme="minorEastAsia"/>
        </w:rPr>
      </w:pPr>
      <w:r>
        <w:rPr>
          <w:rFonts w:eastAsiaTheme="minorEastAsia"/>
        </w:rPr>
        <w:t>Na obrázku 12 je simulační schéma pro regulační smyčku s PID i PSD (diskrétním) regulátorem. Šedý blok je model z </w:t>
      </w:r>
      <w:proofErr w:type="gramStart"/>
      <w:r>
        <w:rPr>
          <w:rFonts w:eastAsiaTheme="minorEastAsia"/>
        </w:rPr>
        <w:t>bodu A :: obrázku</w:t>
      </w:r>
      <w:proofErr w:type="gramEnd"/>
      <w:r>
        <w:rPr>
          <w:rFonts w:eastAsiaTheme="minorEastAsia"/>
        </w:rPr>
        <w:t xml:space="preserve"> 2. Na obrázku 13 je pak průběh výstupní veličiny obou soustav.</w:t>
      </w:r>
    </w:p>
    <w:p w:rsidR="00FB569D" w:rsidRDefault="00FB569D" w:rsidP="00FB569D">
      <w:pPr>
        <w:rPr>
          <w:rFonts w:eastAsiaTheme="minorEastAsia"/>
        </w:rPr>
      </w:pPr>
    </w:p>
    <w:p w:rsidR="0069651B" w:rsidRDefault="0069651B" w:rsidP="0069651B">
      <w:pPr>
        <w:jc w:val="center"/>
        <w:rPr>
          <w:rFonts w:eastAsiaTheme="minorEastAsia"/>
          <w:b/>
        </w:rPr>
      </w:pPr>
      <w:r>
        <w:rPr>
          <w:rFonts w:eastAsiaTheme="minorEastAsia"/>
          <w:noProof/>
          <w:lang w:eastAsia="cs-CZ"/>
        </w:rPr>
        <w:lastRenderedPageBreak/>
        <w:drawing>
          <wp:inline distT="0" distB="0" distL="0" distR="0">
            <wp:extent cx="5753100" cy="2432050"/>
            <wp:effectExtent l="0" t="0" r="0" b="6350"/>
            <wp:docPr id="2" name="Obrázek 2" descr="C:\Users\jiri.halmazna\AppData\Local\Microsoft\Windows\INetCache\Content.Word\PID_P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iri.halmazna\AppData\Local\Microsoft\Windows\INetCache\Content.Word\PID_PS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9D" w:rsidRDefault="00F050E1" w:rsidP="0069651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Obr. 1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  <w:b/>
        </w:rPr>
        <w:t>Schéma PID (nahoře) a PSD (dole)</w:t>
      </w:r>
    </w:p>
    <w:p w:rsidR="00E9574A" w:rsidRDefault="00E9574A" w:rsidP="0069651B">
      <w:pPr>
        <w:jc w:val="center"/>
        <w:rPr>
          <w:rFonts w:eastAsiaTheme="minorEastAsia"/>
          <w:b/>
        </w:rPr>
      </w:pPr>
    </w:p>
    <w:p w:rsidR="00F050E1" w:rsidRDefault="00E9574A" w:rsidP="0069651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pict>
          <v:shape id="_x0000_i1060" type="#_x0000_t75" style="width:314.5pt;height:222.5pt">
            <v:imagedata r:id="rId17" o:title="PID_PSD_out"/>
          </v:shape>
        </w:pict>
      </w:r>
    </w:p>
    <w:p w:rsidR="00F050E1" w:rsidRPr="00FB569D" w:rsidRDefault="00F050E1" w:rsidP="0069651B">
      <w:pPr>
        <w:jc w:val="center"/>
        <w:rPr>
          <w:rFonts w:eastAsiaTheme="minorEastAsia"/>
        </w:rPr>
      </w:pPr>
      <w:r>
        <w:rPr>
          <w:rFonts w:eastAsiaTheme="minorEastAsia"/>
          <w:b/>
        </w:rPr>
        <w:t>Obr. 1</w:t>
      </w:r>
      <w:r>
        <w:rPr>
          <w:rFonts w:eastAsiaTheme="minorEastAsia"/>
          <w:b/>
        </w:rPr>
        <w:t>3</w:t>
      </w:r>
      <w:r>
        <w:rPr>
          <w:rFonts w:eastAsiaTheme="minorEastAsia"/>
          <w:b/>
        </w:rPr>
        <w:t xml:space="preserve"> – Přechodová charakteristika</w:t>
      </w:r>
      <w:r>
        <w:rPr>
          <w:rFonts w:eastAsiaTheme="minorEastAsia"/>
          <w:b/>
        </w:rPr>
        <w:t xml:space="preserve"> PID (</w:t>
      </w:r>
      <w:r w:rsidR="00E9574A">
        <w:rPr>
          <w:rFonts w:eastAsiaTheme="minorEastAsia"/>
          <w:b/>
        </w:rPr>
        <w:t>žlutá</w:t>
      </w:r>
      <w:r>
        <w:rPr>
          <w:rFonts w:eastAsiaTheme="minorEastAsia"/>
          <w:b/>
        </w:rPr>
        <w:t xml:space="preserve">) a </w:t>
      </w:r>
      <w:proofErr w:type="gramStart"/>
      <w:r>
        <w:rPr>
          <w:rFonts w:eastAsiaTheme="minorEastAsia"/>
          <w:b/>
        </w:rPr>
        <w:t>PSD(</w:t>
      </w:r>
      <w:r w:rsidR="00E9574A">
        <w:rPr>
          <w:rFonts w:eastAsiaTheme="minorEastAsia"/>
          <w:b/>
        </w:rPr>
        <w:t>modrá</w:t>
      </w:r>
      <w:proofErr w:type="gramEnd"/>
      <w:r>
        <w:rPr>
          <w:rFonts w:eastAsiaTheme="minorEastAsia"/>
          <w:b/>
        </w:rPr>
        <w:t>)</w:t>
      </w:r>
    </w:p>
    <w:p w:rsidR="00C2797B" w:rsidRDefault="00C2797B" w:rsidP="00F87987"/>
    <w:p w:rsidR="0066667C" w:rsidRDefault="0066667C" w:rsidP="00F87987">
      <w:r>
        <w:t>Zdrojové kódy matlab a schémata simulink přiložena externě.</w:t>
      </w:r>
    </w:p>
    <w:sectPr w:rsidR="0066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87"/>
    <w:rsid w:val="000009AD"/>
    <w:rsid w:val="00020499"/>
    <w:rsid w:val="00025814"/>
    <w:rsid w:val="0004112B"/>
    <w:rsid w:val="0005047A"/>
    <w:rsid w:val="0007031F"/>
    <w:rsid w:val="000863A5"/>
    <w:rsid w:val="00092544"/>
    <w:rsid w:val="000B0401"/>
    <w:rsid w:val="000D502C"/>
    <w:rsid w:val="000F142F"/>
    <w:rsid w:val="000F3B36"/>
    <w:rsid w:val="000F5CF2"/>
    <w:rsid w:val="00102B71"/>
    <w:rsid w:val="00115780"/>
    <w:rsid w:val="001552D1"/>
    <w:rsid w:val="00166344"/>
    <w:rsid w:val="00171565"/>
    <w:rsid w:val="001A6EA9"/>
    <w:rsid w:val="001B496D"/>
    <w:rsid w:val="001C2817"/>
    <w:rsid w:val="0020175A"/>
    <w:rsid w:val="002165CD"/>
    <w:rsid w:val="00221817"/>
    <w:rsid w:val="00237421"/>
    <w:rsid w:val="0024499D"/>
    <w:rsid w:val="00245F7C"/>
    <w:rsid w:val="0026378B"/>
    <w:rsid w:val="00280C1A"/>
    <w:rsid w:val="002871DF"/>
    <w:rsid w:val="002A13D2"/>
    <w:rsid w:val="002B4982"/>
    <w:rsid w:val="002C22D4"/>
    <w:rsid w:val="002C7D5F"/>
    <w:rsid w:val="002D75F3"/>
    <w:rsid w:val="002E6B74"/>
    <w:rsid w:val="0031272B"/>
    <w:rsid w:val="00335CB8"/>
    <w:rsid w:val="003451B1"/>
    <w:rsid w:val="0038551C"/>
    <w:rsid w:val="003E1B00"/>
    <w:rsid w:val="003F554D"/>
    <w:rsid w:val="00427383"/>
    <w:rsid w:val="00430915"/>
    <w:rsid w:val="00452897"/>
    <w:rsid w:val="004554E7"/>
    <w:rsid w:val="00476D64"/>
    <w:rsid w:val="00482247"/>
    <w:rsid w:val="004B251C"/>
    <w:rsid w:val="004B3485"/>
    <w:rsid w:val="004F2D8E"/>
    <w:rsid w:val="00504DD0"/>
    <w:rsid w:val="00560C8E"/>
    <w:rsid w:val="00570379"/>
    <w:rsid w:val="00571E5C"/>
    <w:rsid w:val="00582098"/>
    <w:rsid w:val="005B2B73"/>
    <w:rsid w:val="006150CC"/>
    <w:rsid w:val="006249B9"/>
    <w:rsid w:val="00642643"/>
    <w:rsid w:val="0066667C"/>
    <w:rsid w:val="006871EC"/>
    <w:rsid w:val="00687E87"/>
    <w:rsid w:val="0069651B"/>
    <w:rsid w:val="006C42F7"/>
    <w:rsid w:val="006E4C7B"/>
    <w:rsid w:val="00701169"/>
    <w:rsid w:val="007029D9"/>
    <w:rsid w:val="00713E86"/>
    <w:rsid w:val="007259A1"/>
    <w:rsid w:val="0076296C"/>
    <w:rsid w:val="007643A1"/>
    <w:rsid w:val="0079562D"/>
    <w:rsid w:val="007B72E2"/>
    <w:rsid w:val="007D20AA"/>
    <w:rsid w:val="007F2F34"/>
    <w:rsid w:val="007F34E0"/>
    <w:rsid w:val="007F7FE5"/>
    <w:rsid w:val="008E6B60"/>
    <w:rsid w:val="00901C94"/>
    <w:rsid w:val="009035F7"/>
    <w:rsid w:val="00925298"/>
    <w:rsid w:val="009256DF"/>
    <w:rsid w:val="009953B7"/>
    <w:rsid w:val="009D1CC7"/>
    <w:rsid w:val="00A37323"/>
    <w:rsid w:val="00A40F83"/>
    <w:rsid w:val="00A42747"/>
    <w:rsid w:val="00A5378A"/>
    <w:rsid w:val="00A97183"/>
    <w:rsid w:val="00AB3C67"/>
    <w:rsid w:val="00AC59D5"/>
    <w:rsid w:val="00B079C0"/>
    <w:rsid w:val="00B22D74"/>
    <w:rsid w:val="00B44F9D"/>
    <w:rsid w:val="00B45B53"/>
    <w:rsid w:val="00B64EFF"/>
    <w:rsid w:val="00B80A89"/>
    <w:rsid w:val="00BA43F5"/>
    <w:rsid w:val="00BB22E0"/>
    <w:rsid w:val="00C12ED1"/>
    <w:rsid w:val="00C2797B"/>
    <w:rsid w:val="00C541E0"/>
    <w:rsid w:val="00C6067E"/>
    <w:rsid w:val="00C80498"/>
    <w:rsid w:val="00CD0A73"/>
    <w:rsid w:val="00CE5A0B"/>
    <w:rsid w:val="00CE7970"/>
    <w:rsid w:val="00D0618C"/>
    <w:rsid w:val="00D408AA"/>
    <w:rsid w:val="00D80182"/>
    <w:rsid w:val="00DD217D"/>
    <w:rsid w:val="00DD4BFB"/>
    <w:rsid w:val="00E2388A"/>
    <w:rsid w:val="00E36FBB"/>
    <w:rsid w:val="00E37163"/>
    <w:rsid w:val="00E510B6"/>
    <w:rsid w:val="00E83B18"/>
    <w:rsid w:val="00E85D2D"/>
    <w:rsid w:val="00E9574A"/>
    <w:rsid w:val="00EE76F1"/>
    <w:rsid w:val="00F050E1"/>
    <w:rsid w:val="00F23067"/>
    <w:rsid w:val="00F2668F"/>
    <w:rsid w:val="00F276CF"/>
    <w:rsid w:val="00F31804"/>
    <w:rsid w:val="00F31CDC"/>
    <w:rsid w:val="00F5633D"/>
    <w:rsid w:val="00F57ACA"/>
    <w:rsid w:val="00F61606"/>
    <w:rsid w:val="00F772DD"/>
    <w:rsid w:val="00F87987"/>
    <w:rsid w:val="00F92F53"/>
    <w:rsid w:val="00FA1569"/>
    <w:rsid w:val="00FA1EF2"/>
    <w:rsid w:val="00FA7A84"/>
    <w:rsid w:val="00FB569D"/>
    <w:rsid w:val="00F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1A76"/>
  <w15:chartTrackingRefBased/>
  <w15:docId w15:val="{268F101E-C28D-431B-AB65-24DFAF10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5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22D74"/>
    <w:rPr>
      <w:color w:val="808080"/>
    </w:rPr>
  </w:style>
  <w:style w:type="paragraph" w:styleId="Odstavecseseznamem">
    <w:name w:val="List Paragraph"/>
    <w:basedOn w:val="Normln"/>
    <w:uiPriority w:val="34"/>
    <w:qFormat/>
    <w:rsid w:val="003127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25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80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0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14</Pages>
  <Words>1159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Austin Detonator s.r.o.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Halmazna Jiri</dc:creator>
  <cp:keywords/>
  <dc:description/>
  <cp:lastModifiedBy>Halmazna Jiri</cp:lastModifiedBy>
  <cp:revision>139</cp:revision>
  <cp:lastPrinted>2021-12-12T21:23:00Z</cp:lastPrinted>
  <dcterms:created xsi:type="dcterms:W3CDTF">2021-12-09T14:08:00Z</dcterms:created>
  <dcterms:modified xsi:type="dcterms:W3CDTF">2021-12-12T21:38:00Z</dcterms:modified>
</cp:coreProperties>
</file>